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085"/>
        <w:gridCol w:w="6491"/>
      </w:tblGrid>
      <w:tr w:rsidR="00930767" w:rsidRPr="0032637E" w:rsidTr="001B2A0C">
        <w:trPr>
          <w:trHeight w:val="387"/>
        </w:trPr>
        <w:tc>
          <w:tcPr>
            <w:tcW w:w="3085" w:type="dxa"/>
            <w:shd w:val="clear" w:color="auto" w:fill="auto"/>
          </w:tcPr>
          <w:p w:rsidR="00930767" w:rsidRPr="0032637E" w:rsidRDefault="00930767" w:rsidP="0032637E">
            <w:pPr>
              <w:spacing w:after="0"/>
              <w:jc w:val="both"/>
              <w:rPr>
                <w:rFonts w:ascii="Times New Roman" w:hAnsi="Times New Roman" w:cs="Times New Roman"/>
                <w:color w:val="000000"/>
              </w:rPr>
            </w:pPr>
            <w:r w:rsidRPr="0032637E">
              <w:rPr>
                <w:rFonts w:ascii="Times New Roman" w:hAnsi="Times New Roman" w:cs="Times New Roman"/>
                <w:b/>
                <w:color w:val="000000"/>
              </w:rPr>
              <w:t>TERMES DE RÉFÉRENCE</w:t>
            </w:r>
            <w:r w:rsidRPr="0032637E">
              <w:rPr>
                <w:rFonts w:ascii="Times New Roman" w:hAnsi="Times New Roman" w:cs="Times New Roman"/>
                <w:color w:val="000000"/>
              </w:rPr>
              <w:t xml:space="preserve"> </w:t>
            </w:r>
          </w:p>
        </w:tc>
        <w:tc>
          <w:tcPr>
            <w:tcW w:w="6491" w:type="dxa"/>
            <w:shd w:val="clear" w:color="auto" w:fill="auto"/>
          </w:tcPr>
          <w:p w:rsidR="00930767" w:rsidRPr="0032637E" w:rsidRDefault="00930767" w:rsidP="0032637E">
            <w:pPr>
              <w:spacing w:after="0"/>
              <w:jc w:val="both"/>
              <w:rPr>
                <w:rFonts w:ascii="Times New Roman" w:hAnsi="Times New Roman" w:cs="Times New Roman"/>
                <w:highlight w:val="green"/>
                <w:lang w:val="fr-HT"/>
              </w:rPr>
            </w:pPr>
            <w:r w:rsidRPr="0032637E">
              <w:rPr>
                <w:rFonts w:ascii="Times New Roman" w:hAnsi="Times New Roman" w:cs="Times New Roman"/>
                <w:lang w:val="fr-HT"/>
              </w:rPr>
              <w:t>Consultant –</w:t>
            </w:r>
            <w:r w:rsidR="00261E9F" w:rsidRPr="0032637E">
              <w:rPr>
                <w:rFonts w:ascii="Times New Roman" w:hAnsi="Times New Roman" w:cs="Times New Roman"/>
                <w:lang w:val="fr-HT"/>
              </w:rPr>
              <w:t xml:space="preserve">Formateur en gestion du cycle de projet </w:t>
            </w:r>
          </w:p>
        </w:tc>
      </w:tr>
    </w:tbl>
    <w:p w:rsidR="00930767" w:rsidRPr="0032637E" w:rsidRDefault="00930767" w:rsidP="0032637E">
      <w:pPr>
        <w:spacing w:after="0"/>
        <w:jc w:val="both"/>
        <w:rPr>
          <w:rFonts w:ascii="Times New Roman" w:hAnsi="Times New Roman" w:cs="Times New Roman"/>
          <w:color w:val="800000"/>
          <w:u w:val="single"/>
          <w:lang w:val="fr-HT"/>
        </w:rPr>
      </w:pPr>
      <w:r w:rsidRPr="0032637E">
        <w:rPr>
          <w:rFonts w:ascii="Times New Roman" w:hAnsi="Times New Roman" w:cs="Times New Roman"/>
          <w:color w:val="800000"/>
          <w:u w:val="single"/>
          <w:lang w:val="fr-HT"/>
        </w:rPr>
        <w:tab/>
      </w:r>
      <w:r w:rsidRPr="0032637E">
        <w:rPr>
          <w:rFonts w:ascii="Times New Roman" w:hAnsi="Times New Roman" w:cs="Times New Roman"/>
          <w:color w:val="800000"/>
          <w:u w:val="single"/>
          <w:lang w:val="fr-HT"/>
        </w:rPr>
        <w:tab/>
      </w:r>
      <w:r w:rsidRPr="0032637E">
        <w:rPr>
          <w:rFonts w:ascii="Times New Roman" w:hAnsi="Times New Roman" w:cs="Times New Roman"/>
          <w:color w:val="800000"/>
          <w:u w:val="single"/>
          <w:lang w:val="fr-HT"/>
        </w:rPr>
        <w:tab/>
      </w:r>
      <w:r w:rsidRPr="0032637E">
        <w:rPr>
          <w:rFonts w:ascii="Times New Roman" w:hAnsi="Times New Roman" w:cs="Times New Roman"/>
          <w:color w:val="800000"/>
          <w:u w:val="single"/>
          <w:lang w:val="fr-HT"/>
        </w:rPr>
        <w:tab/>
      </w:r>
      <w:r w:rsidRPr="0032637E">
        <w:rPr>
          <w:rFonts w:ascii="Times New Roman" w:hAnsi="Times New Roman" w:cs="Times New Roman"/>
          <w:color w:val="800000"/>
          <w:u w:val="single"/>
          <w:lang w:val="fr-HT"/>
        </w:rPr>
        <w:tab/>
      </w:r>
      <w:r w:rsidRPr="0032637E">
        <w:rPr>
          <w:rFonts w:ascii="Times New Roman" w:hAnsi="Times New Roman" w:cs="Times New Roman"/>
          <w:color w:val="800000"/>
          <w:u w:val="single"/>
          <w:lang w:val="fr-HT"/>
        </w:rPr>
        <w:tab/>
      </w:r>
      <w:r w:rsidRPr="0032637E">
        <w:rPr>
          <w:rFonts w:ascii="Times New Roman" w:hAnsi="Times New Roman" w:cs="Times New Roman"/>
          <w:color w:val="800000"/>
          <w:u w:val="single"/>
          <w:lang w:val="fr-HT"/>
        </w:rPr>
        <w:tab/>
      </w:r>
      <w:r w:rsidRPr="0032637E">
        <w:rPr>
          <w:rFonts w:ascii="Times New Roman" w:hAnsi="Times New Roman" w:cs="Times New Roman"/>
          <w:color w:val="800000"/>
          <w:u w:val="single"/>
          <w:lang w:val="fr-HT"/>
        </w:rPr>
        <w:tab/>
      </w:r>
      <w:r w:rsidRPr="0032637E">
        <w:rPr>
          <w:rFonts w:ascii="Times New Roman" w:hAnsi="Times New Roman" w:cs="Times New Roman"/>
          <w:color w:val="800000"/>
          <w:u w:val="single"/>
          <w:lang w:val="fr-HT"/>
        </w:rPr>
        <w:tab/>
      </w:r>
      <w:r w:rsidRPr="0032637E">
        <w:rPr>
          <w:rFonts w:ascii="Times New Roman" w:hAnsi="Times New Roman" w:cs="Times New Roman"/>
          <w:color w:val="800000"/>
          <w:u w:val="single"/>
          <w:lang w:val="fr-HT"/>
        </w:rPr>
        <w:tab/>
        <w:t>___________</w:t>
      </w:r>
    </w:p>
    <w:p w:rsidR="00930767" w:rsidRPr="007E3F94" w:rsidRDefault="00930767" w:rsidP="007E3F94">
      <w:pPr>
        <w:pStyle w:val="ListParagraph"/>
        <w:numPr>
          <w:ilvl w:val="0"/>
          <w:numId w:val="5"/>
        </w:numPr>
        <w:spacing w:line="276" w:lineRule="auto"/>
        <w:jc w:val="both"/>
        <w:rPr>
          <w:b/>
          <w:sz w:val="22"/>
          <w:szCs w:val="22"/>
          <w:lang w:val="fr-HT"/>
        </w:rPr>
      </w:pPr>
      <w:r w:rsidRPr="007E3F94">
        <w:rPr>
          <w:b/>
          <w:sz w:val="22"/>
          <w:szCs w:val="22"/>
          <w:lang w:val="fr-HT"/>
        </w:rPr>
        <w:t>Contexte</w:t>
      </w:r>
      <w:r w:rsidR="0032637E" w:rsidRPr="007E3F94">
        <w:rPr>
          <w:b/>
          <w:sz w:val="22"/>
          <w:szCs w:val="22"/>
          <w:lang w:val="fr-HT"/>
        </w:rPr>
        <w:t xml:space="preserve"> de la consultation</w:t>
      </w:r>
    </w:p>
    <w:p w:rsidR="0032637E" w:rsidRPr="007E3F94" w:rsidRDefault="0032637E" w:rsidP="007E3F94">
      <w:pPr>
        <w:spacing w:after="0"/>
        <w:jc w:val="both"/>
        <w:rPr>
          <w:rFonts w:ascii="Times New Roman" w:eastAsia="Times New Roman" w:hAnsi="Times New Roman" w:cs="Times New Roman"/>
          <w:lang w:val="fr-FR"/>
        </w:rPr>
      </w:pPr>
      <w:r w:rsidRPr="007E3F94">
        <w:rPr>
          <w:rFonts w:ascii="Times New Roman" w:eastAsia="Times New Roman" w:hAnsi="Times New Roman" w:cs="Times New Roman"/>
          <w:lang w:val="fr-FR"/>
        </w:rPr>
        <w:t xml:space="preserve">Oxfam America, est une Organisation non-gouvernementale travaillant en Haiti aux côtés d’autres acteurs pour le renforcement de la résilience, la réduction des risques et des impacts des catastrophes, le renforcement des moyens d’existence des groupes et communautés vulnérables, par la définition d’agenda d’influence sur les pouvoirs et les politiques pour un changement durable de leur condition de vie, mais aussi leur faire prendre part aux décisions qui les touchent. </w:t>
      </w:r>
    </w:p>
    <w:p w:rsidR="0032637E" w:rsidRPr="007E3F94" w:rsidRDefault="0032637E" w:rsidP="007E3F94">
      <w:pPr>
        <w:spacing w:after="0"/>
        <w:jc w:val="both"/>
        <w:rPr>
          <w:rFonts w:ascii="Times New Roman" w:eastAsia="Times New Roman" w:hAnsi="Times New Roman" w:cs="Times New Roman"/>
          <w:lang w:val="fr-FR"/>
        </w:rPr>
      </w:pPr>
      <w:r w:rsidRPr="007E3F94">
        <w:rPr>
          <w:rFonts w:ascii="Times New Roman" w:eastAsia="Times New Roman" w:hAnsi="Times New Roman" w:cs="Times New Roman"/>
          <w:lang w:val="fr-FR"/>
        </w:rPr>
        <w:t>Ainsi dans le souci de rendre opérationnel et dynamique cette vision stratégique, à travers le Consortium constitué « d’Oxfam America-Oxfam Intermon et deux partenaires d’implémentation en l’occurrence GADEL&amp;KORAL », respectivement établis dans le haut et le bas Nord-Ouest, est chargé d’implémenter le projet de reconstruction de gestion des risques et des désastres.</w:t>
      </w:r>
    </w:p>
    <w:p w:rsidR="0032637E" w:rsidRPr="007E3F94" w:rsidRDefault="0032637E" w:rsidP="007E3F94">
      <w:pPr>
        <w:spacing w:after="120"/>
        <w:jc w:val="both"/>
        <w:rPr>
          <w:rFonts w:ascii="Times New Roman" w:eastAsia="Calibri" w:hAnsi="Times New Roman" w:cs="Times New Roman"/>
          <w:lang w:val="fr-FR" w:eastAsia="zh-CN"/>
        </w:rPr>
      </w:pPr>
      <w:r w:rsidRPr="007E3F94">
        <w:rPr>
          <w:rFonts w:ascii="Times New Roman" w:eastAsia="Times New Roman" w:hAnsi="Times New Roman" w:cs="Times New Roman"/>
          <w:lang w:val="fr-FR"/>
        </w:rPr>
        <w:t xml:space="preserve">Le PRGRD, est une initiative du gouvernement Haïtien financé par la Banque Mondiale, </w:t>
      </w:r>
      <w:r w:rsidRPr="007E3F94">
        <w:rPr>
          <w:rFonts w:ascii="Times New Roman" w:eastAsia="Calibri" w:hAnsi="Times New Roman" w:cs="Times New Roman"/>
          <w:lang w:val="fr-HT" w:eastAsia="fr-CA"/>
        </w:rPr>
        <w:t xml:space="preserve">visant à </w:t>
      </w:r>
      <w:r w:rsidRPr="007E3F94">
        <w:rPr>
          <w:rFonts w:ascii="Times New Roman" w:eastAsia="Times New Roman" w:hAnsi="Times New Roman" w:cs="Times New Roman"/>
          <w:lang w:val="fr-HT" w:eastAsia="fr-CA"/>
        </w:rPr>
        <w:t xml:space="preserve">augmenter les capacités institutionnelles et opérationnelles des Comités Communaux de Protection Civile (CCPC) de manière à garantir un fonctionnement régulier et permanent du système dans la chaine communale et locale. Le projet vise à garantir le développement de mécanismes de coordination et l’efficacité dans la réduction des risques des catastrophes dans les dix départements du pays. Le projet de Reconstruction de Gestion des Risques et des Désastres couvrent </w:t>
      </w:r>
      <w:r w:rsidRPr="007E3F94">
        <w:rPr>
          <w:rFonts w:ascii="Times New Roman" w:eastAsia="Times New Roman" w:hAnsi="Times New Roman" w:cs="Times New Roman"/>
          <w:lang w:val="fr-FR"/>
        </w:rPr>
        <w:t>quatre composantes dont la deuxième consiste à la réduction des risques et la prévention des catastrophes dans le pays et contribuer au renforcement des capacités institutionnelles et opérationnelles des comités communaux de p</w:t>
      </w:r>
      <w:r w:rsidRPr="007E3F94">
        <w:rPr>
          <w:rFonts w:ascii="Times New Roman" w:eastAsia="Calibri" w:hAnsi="Times New Roman" w:cs="Times New Roman"/>
          <w:lang w:val="fr-FR" w:eastAsia="zh-CN"/>
        </w:rPr>
        <w:t xml:space="preserve">rotection Civile (CCPC) au niveau de tout le territoire national.  </w:t>
      </w:r>
    </w:p>
    <w:p w:rsidR="00930767" w:rsidRPr="007E3F94" w:rsidRDefault="00930767" w:rsidP="007E3F94">
      <w:pPr>
        <w:tabs>
          <w:tab w:val="left" w:pos="2175"/>
        </w:tabs>
        <w:spacing w:after="0"/>
        <w:jc w:val="both"/>
        <w:rPr>
          <w:rFonts w:ascii="Times New Roman" w:eastAsia="Times New Roman" w:hAnsi="Times New Roman" w:cs="Times New Roman"/>
          <w:b/>
          <w:lang w:val="fr-HT" w:eastAsia="fr-FR"/>
        </w:rPr>
      </w:pPr>
      <w:r w:rsidRPr="007E3F94">
        <w:rPr>
          <w:rFonts w:ascii="Times New Roman" w:hAnsi="Times New Roman" w:cs="Times New Roman"/>
          <w:lang w:val="fr-HT"/>
        </w:rPr>
        <w:t>Dans ce contexte  de grande vulnérabilité du pays et en renforçant la capacité des structures du SNGRD, Oxfam, institution humanitaire travaillant avec les autres pour la réduction de la pauvreté et le renforcement de la résilience des communautés vulnérables, recherche dans l’immédiat un</w:t>
      </w:r>
      <w:r w:rsidR="0032637E" w:rsidRPr="007E3F94">
        <w:rPr>
          <w:rFonts w:ascii="Times New Roman" w:hAnsi="Times New Roman" w:cs="Times New Roman"/>
          <w:lang w:val="fr-HT"/>
        </w:rPr>
        <w:t>/e</w:t>
      </w:r>
      <w:r w:rsidRPr="007E3F94">
        <w:rPr>
          <w:rFonts w:ascii="Times New Roman" w:hAnsi="Times New Roman" w:cs="Times New Roman"/>
          <w:lang w:val="fr-HT"/>
        </w:rPr>
        <w:t xml:space="preserve"> consultant</w:t>
      </w:r>
      <w:r w:rsidR="0032637E" w:rsidRPr="007E3F94">
        <w:rPr>
          <w:rFonts w:ascii="Times New Roman" w:hAnsi="Times New Roman" w:cs="Times New Roman"/>
          <w:lang w:val="fr-HT"/>
        </w:rPr>
        <w:t>/e</w:t>
      </w:r>
      <w:r w:rsidRPr="007E3F94">
        <w:rPr>
          <w:rFonts w:ascii="Times New Roman" w:hAnsi="Times New Roman" w:cs="Times New Roman"/>
          <w:lang w:val="fr-HT"/>
        </w:rPr>
        <w:t xml:space="preserve"> ou </w:t>
      </w:r>
      <w:r w:rsidR="0032637E" w:rsidRPr="007E3F94">
        <w:rPr>
          <w:rFonts w:ascii="Times New Roman" w:hAnsi="Times New Roman" w:cs="Times New Roman"/>
          <w:lang w:val="fr-HT"/>
        </w:rPr>
        <w:t xml:space="preserve">une firme de </w:t>
      </w:r>
      <w:r w:rsidRPr="007E3F94">
        <w:rPr>
          <w:rFonts w:ascii="Times New Roman" w:hAnsi="Times New Roman" w:cs="Times New Roman"/>
          <w:lang w:val="fr-HT"/>
        </w:rPr>
        <w:t>consulta</w:t>
      </w:r>
      <w:r w:rsidR="0032637E" w:rsidRPr="007E3F94">
        <w:rPr>
          <w:rFonts w:ascii="Times New Roman" w:hAnsi="Times New Roman" w:cs="Times New Roman"/>
          <w:lang w:val="fr-HT"/>
        </w:rPr>
        <w:t>tion</w:t>
      </w:r>
      <w:r w:rsidRPr="007E3F94">
        <w:rPr>
          <w:rFonts w:ascii="Times New Roman" w:hAnsi="Times New Roman" w:cs="Times New Roman"/>
          <w:lang w:val="fr-HT"/>
        </w:rPr>
        <w:t xml:space="preserve"> pour</w:t>
      </w:r>
      <w:r w:rsidRPr="007E3F94">
        <w:rPr>
          <w:rFonts w:ascii="Times New Roman" w:eastAsia="Times New Roman" w:hAnsi="Times New Roman" w:cs="Times New Roman"/>
          <w:lang w:val="fr-HT" w:eastAsia="fr-FR"/>
        </w:rPr>
        <w:t xml:space="preserve"> l</w:t>
      </w:r>
      <w:r w:rsidR="0032637E" w:rsidRPr="007E3F94">
        <w:rPr>
          <w:rFonts w:ascii="Times New Roman" w:eastAsia="Times New Roman" w:hAnsi="Times New Roman" w:cs="Times New Roman"/>
          <w:lang w:val="fr-HT" w:eastAsia="fr-FR"/>
        </w:rPr>
        <w:t xml:space="preserve">a réalisation d’une formation sur la thématique de la GESTION DU CYCLE DE PROJETS avec une emphase sur les projets de </w:t>
      </w:r>
      <w:r w:rsidRPr="007E3F94">
        <w:rPr>
          <w:rFonts w:ascii="Times New Roman" w:eastAsia="Times New Roman" w:hAnsi="Times New Roman" w:cs="Times New Roman"/>
          <w:lang w:val="fr-HT" w:eastAsia="fr-FR"/>
        </w:rPr>
        <w:t>M</w:t>
      </w:r>
      <w:r w:rsidR="0032637E" w:rsidRPr="007E3F94">
        <w:rPr>
          <w:rFonts w:ascii="Times New Roman" w:eastAsia="Times New Roman" w:hAnsi="Times New Roman" w:cs="Times New Roman"/>
          <w:lang w:val="fr-HT" w:eastAsia="fr-FR"/>
        </w:rPr>
        <w:t>itigation des</w:t>
      </w:r>
      <w:r w:rsidRPr="007E3F94">
        <w:rPr>
          <w:rFonts w:ascii="Times New Roman" w:eastAsia="Times New Roman" w:hAnsi="Times New Roman" w:cs="Times New Roman"/>
          <w:lang w:val="fr-HT" w:eastAsia="fr-FR"/>
        </w:rPr>
        <w:t xml:space="preserve"> R</w:t>
      </w:r>
      <w:r w:rsidR="0032637E" w:rsidRPr="007E3F94">
        <w:rPr>
          <w:rFonts w:ascii="Times New Roman" w:eastAsia="Times New Roman" w:hAnsi="Times New Roman" w:cs="Times New Roman"/>
          <w:lang w:val="fr-HT" w:eastAsia="fr-FR"/>
        </w:rPr>
        <w:t xml:space="preserve">isques communautaires et des Désastres. </w:t>
      </w:r>
      <w:r w:rsidRPr="007E3F94">
        <w:rPr>
          <w:rFonts w:ascii="Times New Roman" w:eastAsia="Times New Roman" w:hAnsi="Times New Roman" w:cs="Times New Roman"/>
          <w:lang w:val="fr-HT" w:eastAsia="fr-FR"/>
        </w:rPr>
        <w:t xml:space="preserve"> </w:t>
      </w:r>
    </w:p>
    <w:p w:rsidR="00930767" w:rsidRPr="007E3F94" w:rsidRDefault="00930767" w:rsidP="007E3F94">
      <w:pPr>
        <w:pStyle w:val="ListParagraph"/>
        <w:numPr>
          <w:ilvl w:val="0"/>
          <w:numId w:val="5"/>
        </w:numPr>
        <w:tabs>
          <w:tab w:val="left" w:pos="2175"/>
        </w:tabs>
        <w:spacing w:line="276" w:lineRule="auto"/>
        <w:jc w:val="both"/>
        <w:rPr>
          <w:b/>
          <w:sz w:val="22"/>
          <w:szCs w:val="22"/>
          <w:lang w:val="fr-HT" w:eastAsia="fr-FR"/>
        </w:rPr>
      </w:pPr>
      <w:r w:rsidRPr="007E3F94">
        <w:rPr>
          <w:b/>
          <w:sz w:val="22"/>
          <w:szCs w:val="22"/>
          <w:lang w:val="fr-HT" w:eastAsia="fr-FR"/>
        </w:rPr>
        <w:t>Objectif de la consultation</w:t>
      </w:r>
    </w:p>
    <w:p w:rsidR="0032637E" w:rsidRPr="007E3F94" w:rsidRDefault="0032637E" w:rsidP="007E3F94">
      <w:pPr>
        <w:tabs>
          <w:tab w:val="left" w:pos="2175"/>
        </w:tabs>
        <w:spacing w:after="0"/>
        <w:jc w:val="both"/>
        <w:rPr>
          <w:rFonts w:ascii="Times New Roman" w:eastAsia="Times New Roman" w:hAnsi="Times New Roman" w:cs="Times New Roman"/>
          <w:lang w:val="fr-HT" w:eastAsia="fr-FR"/>
        </w:rPr>
      </w:pPr>
      <w:r w:rsidRPr="007E3F94">
        <w:rPr>
          <w:rFonts w:ascii="Times New Roman" w:eastAsia="Times New Roman" w:hAnsi="Times New Roman" w:cs="Times New Roman"/>
          <w:lang w:val="fr-HT" w:eastAsia="fr-FR"/>
        </w:rPr>
        <w:t>Dans le souci d’aider les membres des CCPC à identifier les projets prioritaires, considérés comme des menaces pour l’ensemble de la population des 15 communes du département de l’Artibonite et, dans le souci de les rendre plus apte à remplir leur mission, le/la consultant/te ou la firme de consultation aura a développé un programme de formation en « Gestion du Cycle de Projets » capable de renforcer la capacité technique et opérationnelle des membres des comités de l’Artibonite à mettre en œuvre des projets de mitigation, par la prise en compte des référents de fonctionnements établis par le Système National de Gestion des Risques et des Désastres (SNGRD).</w:t>
      </w:r>
    </w:p>
    <w:p w:rsidR="0032637E" w:rsidRPr="007E3F94" w:rsidRDefault="0032637E" w:rsidP="007E3F94">
      <w:pPr>
        <w:tabs>
          <w:tab w:val="left" w:pos="2175"/>
        </w:tabs>
        <w:spacing w:after="0"/>
        <w:jc w:val="both"/>
        <w:rPr>
          <w:rFonts w:ascii="Times New Roman" w:eastAsia="Times New Roman" w:hAnsi="Times New Roman" w:cs="Times New Roman"/>
          <w:lang w:val="fr-HT" w:eastAsia="fr-FR"/>
        </w:rPr>
      </w:pPr>
    </w:p>
    <w:p w:rsidR="0032637E" w:rsidRDefault="0032637E" w:rsidP="007E3F94">
      <w:pPr>
        <w:tabs>
          <w:tab w:val="left" w:pos="2175"/>
        </w:tabs>
        <w:spacing w:after="0"/>
        <w:jc w:val="both"/>
        <w:rPr>
          <w:rFonts w:ascii="Times New Roman" w:eastAsia="Times New Roman" w:hAnsi="Times New Roman" w:cs="Times New Roman"/>
          <w:lang w:val="fr-HT" w:eastAsia="fr-FR"/>
        </w:rPr>
      </w:pPr>
    </w:p>
    <w:p w:rsidR="007E3F94" w:rsidRPr="007E3F94" w:rsidRDefault="007E3F94" w:rsidP="007E3F94">
      <w:pPr>
        <w:tabs>
          <w:tab w:val="left" w:pos="2175"/>
        </w:tabs>
        <w:spacing w:after="0"/>
        <w:jc w:val="both"/>
        <w:rPr>
          <w:rFonts w:ascii="Times New Roman" w:eastAsia="Times New Roman" w:hAnsi="Times New Roman" w:cs="Times New Roman"/>
          <w:lang w:val="fr-HT" w:eastAsia="fr-FR"/>
        </w:rPr>
      </w:pPr>
    </w:p>
    <w:p w:rsidR="0032637E" w:rsidRPr="007E3F94" w:rsidRDefault="0032637E" w:rsidP="007E3F94">
      <w:pPr>
        <w:tabs>
          <w:tab w:val="left" w:pos="2175"/>
        </w:tabs>
        <w:spacing w:after="0"/>
        <w:jc w:val="both"/>
        <w:rPr>
          <w:rFonts w:ascii="Times New Roman" w:eastAsia="Times New Roman" w:hAnsi="Times New Roman" w:cs="Times New Roman"/>
          <w:lang w:val="fr-HT" w:eastAsia="fr-FR"/>
        </w:rPr>
      </w:pPr>
    </w:p>
    <w:p w:rsidR="0032637E" w:rsidRPr="007E3F94" w:rsidRDefault="0032637E" w:rsidP="007E3F94">
      <w:pPr>
        <w:tabs>
          <w:tab w:val="left" w:pos="2175"/>
        </w:tabs>
        <w:spacing w:after="0"/>
        <w:jc w:val="both"/>
        <w:rPr>
          <w:rFonts w:ascii="Times New Roman" w:eastAsia="Times New Roman" w:hAnsi="Times New Roman" w:cs="Times New Roman"/>
          <w:lang w:val="fr-HT" w:eastAsia="fr-FR"/>
        </w:rPr>
      </w:pPr>
    </w:p>
    <w:p w:rsidR="0032637E" w:rsidRPr="007E3F94" w:rsidRDefault="0032637E" w:rsidP="007E3F94">
      <w:pPr>
        <w:tabs>
          <w:tab w:val="left" w:pos="2175"/>
        </w:tabs>
        <w:spacing w:after="0"/>
        <w:jc w:val="both"/>
        <w:rPr>
          <w:rFonts w:ascii="Times New Roman" w:eastAsia="Times New Roman" w:hAnsi="Times New Roman" w:cs="Times New Roman"/>
          <w:lang w:val="fr-HT" w:eastAsia="fr-FR"/>
        </w:rPr>
      </w:pPr>
    </w:p>
    <w:p w:rsidR="0032637E" w:rsidRPr="007E3F94" w:rsidRDefault="0032637E" w:rsidP="007E3F94">
      <w:pPr>
        <w:tabs>
          <w:tab w:val="left" w:pos="2175"/>
        </w:tabs>
        <w:spacing w:after="0"/>
        <w:jc w:val="both"/>
        <w:rPr>
          <w:rFonts w:ascii="Times New Roman" w:eastAsia="Times New Roman" w:hAnsi="Times New Roman" w:cs="Times New Roman"/>
          <w:lang w:val="fr-HT" w:eastAsia="fr-FR"/>
        </w:rPr>
      </w:pPr>
    </w:p>
    <w:p w:rsidR="0032637E" w:rsidRPr="007E3F94" w:rsidRDefault="0032637E" w:rsidP="007E3F94">
      <w:pPr>
        <w:tabs>
          <w:tab w:val="left" w:pos="2175"/>
        </w:tabs>
        <w:spacing w:after="0"/>
        <w:jc w:val="both"/>
        <w:rPr>
          <w:rFonts w:ascii="Times New Roman" w:eastAsia="Times New Roman" w:hAnsi="Times New Roman" w:cs="Times New Roman"/>
          <w:lang w:val="fr-HT" w:eastAsia="fr-FR"/>
        </w:rPr>
      </w:pPr>
    </w:p>
    <w:p w:rsidR="00930767" w:rsidRPr="007E3F94" w:rsidRDefault="00930767" w:rsidP="007E3F94">
      <w:pPr>
        <w:pStyle w:val="ListParagraph"/>
        <w:numPr>
          <w:ilvl w:val="0"/>
          <w:numId w:val="5"/>
        </w:numPr>
        <w:tabs>
          <w:tab w:val="left" w:pos="2175"/>
        </w:tabs>
        <w:spacing w:line="276" w:lineRule="auto"/>
        <w:jc w:val="both"/>
        <w:rPr>
          <w:b/>
          <w:sz w:val="22"/>
          <w:szCs w:val="22"/>
          <w:lang w:val="fr-HT" w:eastAsia="fr-FR"/>
        </w:rPr>
      </w:pPr>
      <w:r w:rsidRPr="007E3F94">
        <w:rPr>
          <w:b/>
          <w:sz w:val="22"/>
          <w:szCs w:val="22"/>
          <w:lang w:val="fr-HT" w:eastAsia="fr-FR"/>
        </w:rPr>
        <w:lastRenderedPageBreak/>
        <w:t>Tâches du consultant</w:t>
      </w:r>
    </w:p>
    <w:p w:rsidR="00930767" w:rsidRPr="007E3F94" w:rsidRDefault="00930767" w:rsidP="007E3F94">
      <w:pPr>
        <w:tabs>
          <w:tab w:val="left" w:pos="2175"/>
        </w:tabs>
        <w:spacing w:after="0"/>
        <w:jc w:val="both"/>
        <w:rPr>
          <w:rFonts w:ascii="Times New Roman" w:eastAsia="Times New Roman" w:hAnsi="Times New Roman" w:cs="Times New Roman"/>
          <w:b/>
          <w:lang w:val="fr-HT" w:eastAsia="fr-FR"/>
        </w:rPr>
      </w:pPr>
      <w:r w:rsidRPr="007E3F94">
        <w:rPr>
          <w:rFonts w:ascii="Times New Roman" w:eastAsia="Times New Roman" w:hAnsi="Times New Roman" w:cs="Times New Roman"/>
          <w:b/>
          <w:lang w:val="fr-HT" w:eastAsia="fr-FR"/>
        </w:rPr>
        <w:t>Le ou la consultant/te a pour taches essentielles de :</w:t>
      </w:r>
    </w:p>
    <w:p w:rsidR="0032637E" w:rsidRPr="007E3F94" w:rsidRDefault="0032637E" w:rsidP="007E3F94">
      <w:pPr>
        <w:numPr>
          <w:ilvl w:val="0"/>
          <w:numId w:val="1"/>
        </w:numPr>
        <w:tabs>
          <w:tab w:val="left" w:pos="2175"/>
        </w:tabs>
        <w:spacing w:after="0"/>
        <w:jc w:val="both"/>
        <w:rPr>
          <w:rFonts w:ascii="Times New Roman" w:eastAsia="Times New Roman" w:hAnsi="Times New Roman" w:cs="Times New Roman"/>
          <w:lang w:val="fr-HT" w:eastAsia="fr-FR"/>
        </w:rPr>
      </w:pPr>
      <w:r w:rsidRPr="007E3F94">
        <w:rPr>
          <w:rFonts w:ascii="Times New Roman" w:eastAsia="Times New Roman" w:hAnsi="Times New Roman" w:cs="Times New Roman"/>
          <w:lang w:val="fr-HT" w:eastAsia="fr-FR"/>
        </w:rPr>
        <w:t xml:space="preserve">Concevoir et réaliser une formation sur la « Gestion du cycle de projets » ; </w:t>
      </w:r>
    </w:p>
    <w:p w:rsidR="0032637E" w:rsidRPr="007E3F94" w:rsidRDefault="0032637E" w:rsidP="007E3F94">
      <w:pPr>
        <w:numPr>
          <w:ilvl w:val="0"/>
          <w:numId w:val="1"/>
        </w:numPr>
        <w:tabs>
          <w:tab w:val="left" w:pos="2175"/>
        </w:tabs>
        <w:spacing w:after="0"/>
        <w:jc w:val="both"/>
        <w:rPr>
          <w:rFonts w:ascii="Times New Roman" w:eastAsia="Times New Roman" w:hAnsi="Times New Roman" w:cs="Times New Roman"/>
          <w:lang w:val="fr-HT" w:eastAsia="fr-FR"/>
        </w:rPr>
      </w:pPr>
      <w:r w:rsidRPr="007E3F94">
        <w:rPr>
          <w:rFonts w:ascii="Times New Roman" w:eastAsia="Times New Roman" w:hAnsi="Times New Roman" w:cs="Times New Roman"/>
          <w:lang w:val="fr-HT" w:eastAsia="fr-FR"/>
        </w:rPr>
        <w:t>Développer  les plans de leçons autour des sous-thématiques y afférentes;</w:t>
      </w:r>
    </w:p>
    <w:p w:rsidR="00930767" w:rsidRPr="007E3F94" w:rsidRDefault="0032637E" w:rsidP="007E3F94">
      <w:pPr>
        <w:numPr>
          <w:ilvl w:val="0"/>
          <w:numId w:val="1"/>
        </w:numPr>
        <w:tabs>
          <w:tab w:val="left" w:pos="2175"/>
        </w:tabs>
        <w:spacing w:after="0"/>
        <w:jc w:val="both"/>
        <w:rPr>
          <w:rFonts w:ascii="Times New Roman" w:eastAsia="Times New Roman" w:hAnsi="Times New Roman" w:cs="Times New Roman"/>
          <w:lang w:val="fr-HT" w:eastAsia="fr-FR"/>
        </w:rPr>
      </w:pPr>
      <w:r w:rsidRPr="007E3F94">
        <w:rPr>
          <w:rFonts w:ascii="Times New Roman" w:eastAsia="Times New Roman" w:hAnsi="Times New Roman" w:cs="Times New Roman"/>
          <w:lang w:val="fr-HT" w:eastAsia="fr-FR"/>
        </w:rPr>
        <w:t>Faciliter l’enseignement de</w:t>
      </w:r>
      <w:r w:rsidR="00930767" w:rsidRPr="007E3F94">
        <w:rPr>
          <w:rFonts w:ascii="Times New Roman" w:eastAsia="Times New Roman" w:hAnsi="Times New Roman" w:cs="Times New Roman"/>
          <w:lang w:val="fr-HT" w:eastAsia="fr-FR"/>
        </w:rPr>
        <w:t xml:space="preserve">s notions </w:t>
      </w:r>
      <w:r w:rsidRPr="007E3F94">
        <w:rPr>
          <w:rFonts w:ascii="Times New Roman" w:eastAsia="Times New Roman" w:hAnsi="Times New Roman" w:cs="Times New Roman"/>
          <w:lang w:val="fr-HT" w:eastAsia="fr-FR"/>
        </w:rPr>
        <w:t xml:space="preserve">et théories essentielles </w:t>
      </w:r>
      <w:r w:rsidR="00930767" w:rsidRPr="007E3F94">
        <w:rPr>
          <w:rFonts w:ascii="Times New Roman" w:eastAsia="Times New Roman" w:hAnsi="Times New Roman" w:cs="Times New Roman"/>
          <w:lang w:val="fr-HT" w:eastAsia="fr-FR"/>
        </w:rPr>
        <w:t xml:space="preserve">sur </w:t>
      </w:r>
      <w:r w:rsidR="00B74F0A" w:rsidRPr="007E3F94">
        <w:rPr>
          <w:rFonts w:ascii="Times New Roman" w:eastAsia="Times New Roman" w:hAnsi="Times New Roman" w:cs="Times New Roman"/>
          <w:lang w:val="fr-HT" w:eastAsia="fr-FR"/>
        </w:rPr>
        <w:t>la gestion du cycle de projet</w:t>
      </w:r>
      <w:r w:rsidR="00455551" w:rsidRPr="007E3F94">
        <w:rPr>
          <w:rFonts w:ascii="Times New Roman" w:eastAsia="Times New Roman" w:hAnsi="Times New Roman" w:cs="Times New Roman"/>
          <w:lang w:val="fr-HT" w:eastAsia="fr-FR"/>
        </w:rPr>
        <w:t xml:space="preserve">  </w:t>
      </w:r>
      <w:r w:rsidRPr="007E3F94">
        <w:rPr>
          <w:rFonts w:ascii="Times New Roman" w:eastAsia="Times New Roman" w:hAnsi="Times New Roman" w:cs="Times New Roman"/>
          <w:lang w:val="fr-HT" w:eastAsia="fr-FR"/>
        </w:rPr>
        <w:t xml:space="preserve">aux membres des CCPC </w:t>
      </w:r>
      <w:r w:rsidR="00455551" w:rsidRPr="007E3F94">
        <w:rPr>
          <w:rFonts w:ascii="Times New Roman" w:eastAsia="Times New Roman" w:hAnsi="Times New Roman" w:cs="Times New Roman"/>
          <w:lang w:val="fr-HT" w:eastAsia="fr-FR"/>
        </w:rPr>
        <w:t>afin de les appliquer dans le</w:t>
      </w:r>
      <w:r w:rsidRPr="007E3F94">
        <w:rPr>
          <w:rFonts w:ascii="Times New Roman" w:eastAsia="Times New Roman" w:hAnsi="Times New Roman" w:cs="Times New Roman"/>
          <w:lang w:val="fr-HT" w:eastAsia="fr-FR"/>
        </w:rPr>
        <w:t>ur</w:t>
      </w:r>
      <w:r w:rsidR="00455551" w:rsidRPr="007E3F94">
        <w:rPr>
          <w:rFonts w:ascii="Times New Roman" w:eastAsia="Times New Roman" w:hAnsi="Times New Roman" w:cs="Times New Roman"/>
          <w:lang w:val="fr-HT" w:eastAsia="fr-FR"/>
        </w:rPr>
        <w:t>s communes respectives</w:t>
      </w:r>
      <w:r w:rsidRPr="007E3F94">
        <w:rPr>
          <w:rFonts w:ascii="Times New Roman" w:eastAsia="Times New Roman" w:hAnsi="Times New Roman" w:cs="Times New Roman"/>
          <w:lang w:val="fr-HT" w:eastAsia="fr-FR"/>
        </w:rPr>
        <w:t> ;</w:t>
      </w:r>
    </w:p>
    <w:p w:rsidR="00930767" w:rsidRPr="007E3F94" w:rsidRDefault="0032637E" w:rsidP="007E3F94">
      <w:pPr>
        <w:numPr>
          <w:ilvl w:val="0"/>
          <w:numId w:val="1"/>
        </w:numPr>
        <w:tabs>
          <w:tab w:val="left" w:pos="2175"/>
        </w:tabs>
        <w:spacing w:after="0"/>
        <w:jc w:val="both"/>
        <w:rPr>
          <w:rFonts w:ascii="Times New Roman" w:eastAsia="Times New Roman" w:hAnsi="Times New Roman" w:cs="Times New Roman"/>
          <w:lang w:val="fr-HT" w:eastAsia="fr-FR"/>
        </w:rPr>
      </w:pPr>
      <w:r w:rsidRPr="007E3F94">
        <w:rPr>
          <w:rFonts w:ascii="Times New Roman" w:eastAsia="Times New Roman" w:hAnsi="Times New Roman" w:cs="Times New Roman"/>
          <w:lang w:val="fr-HT" w:eastAsia="fr-FR"/>
        </w:rPr>
        <w:t>Préparer le matériel didactique approprie et a</w:t>
      </w:r>
      <w:r w:rsidR="00455551" w:rsidRPr="007E3F94">
        <w:rPr>
          <w:rFonts w:ascii="Times New Roman" w:eastAsia="Times New Roman" w:hAnsi="Times New Roman" w:cs="Times New Roman"/>
          <w:lang w:val="fr-HT" w:eastAsia="fr-FR"/>
        </w:rPr>
        <w:t xml:space="preserve">nimer </w:t>
      </w:r>
      <w:r w:rsidRPr="007E3F94">
        <w:rPr>
          <w:rFonts w:ascii="Times New Roman" w:eastAsia="Times New Roman" w:hAnsi="Times New Roman" w:cs="Times New Roman"/>
          <w:lang w:val="fr-HT" w:eastAsia="fr-FR"/>
        </w:rPr>
        <w:t xml:space="preserve">des </w:t>
      </w:r>
      <w:r w:rsidR="00930767" w:rsidRPr="007E3F94">
        <w:rPr>
          <w:rFonts w:ascii="Times New Roman" w:eastAsia="Times New Roman" w:hAnsi="Times New Roman" w:cs="Times New Roman"/>
          <w:lang w:val="fr-HT" w:eastAsia="fr-FR"/>
        </w:rPr>
        <w:t xml:space="preserve">ateliers </w:t>
      </w:r>
      <w:r w:rsidR="00B74F0A" w:rsidRPr="007E3F94">
        <w:rPr>
          <w:rFonts w:ascii="Times New Roman" w:eastAsia="Times New Roman" w:hAnsi="Times New Roman" w:cs="Times New Roman"/>
          <w:lang w:val="fr-HT" w:eastAsia="fr-FR"/>
        </w:rPr>
        <w:t xml:space="preserve">de </w:t>
      </w:r>
      <w:r w:rsidR="00930767" w:rsidRPr="007E3F94">
        <w:rPr>
          <w:rFonts w:ascii="Times New Roman" w:eastAsia="Times New Roman" w:hAnsi="Times New Roman" w:cs="Times New Roman"/>
          <w:lang w:val="fr-HT" w:eastAsia="fr-FR"/>
        </w:rPr>
        <w:t>travail en vue de collecter des informations nécessaire</w:t>
      </w:r>
      <w:r w:rsidR="00455551" w:rsidRPr="007E3F94">
        <w:rPr>
          <w:rFonts w:ascii="Times New Roman" w:eastAsia="Times New Roman" w:hAnsi="Times New Roman" w:cs="Times New Roman"/>
          <w:lang w:val="fr-HT" w:eastAsia="fr-FR"/>
        </w:rPr>
        <w:t>s</w:t>
      </w:r>
      <w:r w:rsidR="00930767" w:rsidRPr="007E3F94">
        <w:rPr>
          <w:rFonts w:ascii="Times New Roman" w:eastAsia="Times New Roman" w:hAnsi="Times New Roman" w:cs="Times New Roman"/>
          <w:lang w:val="fr-HT" w:eastAsia="fr-FR"/>
        </w:rPr>
        <w:t xml:space="preserve"> dans les commun</w:t>
      </w:r>
      <w:r w:rsidR="00455551" w:rsidRPr="007E3F94">
        <w:rPr>
          <w:rFonts w:ascii="Times New Roman" w:eastAsia="Times New Roman" w:hAnsi="Times New Roman" w:cs="Times New Roman"/>
          <w:lang w:val="fr-HT" w:eastAsia="fr-FR"/>
        </w:rPr>
        <w:t>autés les aidant  à formuler et à</w:t>
      </w:r>
      <w:r w:rsidR="00930767" w:rsidRPr="007E3F94">
        <w:rPr>
          <w:rFonts w:ascii="Times New Roman" w:eastAsia="Times New Roman" w:hAnsi="Times New Roman" w:cs="Times New Roman"/>
          <w:lang w:val="fr-HT" w:eastAsia="fr-FR"/>
        </w:rPr>
        <w:t xml:space="preserve"> concevoir de manière participative les </w:t>
      </w:r>
      <w:r w:rsidR="00455551" w:rsidRPr="007E3F94">
        <w:rPr>
          <w:rFonts w:ascii="Times New Roman" w:eastAsia="Times New Roman" w:hAnsi="Times New Roman" w:cs="Times New Roman"/>
          <w:lang w:val="fr-HT" w:eastAsia="fr-FR"/>
        </w:rPr>
        <w:t>documents de projets identifié</w:t>
      </w:r>
      <w:r w:rsidR="00930767" w:rsidRPr="007E3F94">
        <w:rPr>
          <w:rFonts w:ascii="Times New Roman" w:eastAsia="Times New Roman" w:hAnsi="Times New Roman" w:cs="Times New Roman"/>
          <w:lang w:val="fr-HT" w:eastAsia="fr-FR"/>
        </w:rPr>
        <w:t xml:space="preserve">s comme </w:t>
      </w:r>
      <w:r w:rsidRPr="007E3F94">
        <w:rPr>
          <w:rFonts w:ascii="Times New Roman" w:eastAsia="Times New Roman" w:hAnsi="Times New Roman" w:cs="Times New Roman"/>
          <w:lang w:val="fr-HT" w:eastAsia="fr-FR"/>
        </w:rPr>
        <w:t xml:space="preserve">les </w:t>
      </w:r>
      <w:r w:rsidR="00930767" w:rsidRPr="007E3F94">
        <w:rPr>
          <w:rFonts w:ascii="Times New Roman" w:eastAsia="Times New Roman" w:hAnsi="Times New Roman" w:cs="Times New Roman"/>
          <w:lang w:val="fr-HT" w:eastAsia="fr-FR"/>
        </w:rPr>
        <w:t>plus prioritaires</w:t>
      </w:r>
      <w:r w:rsidRPr="007E3F94">
        <w:rPr>
          <w:rFonts w:ascii="Times New Roman" w:eastAsia="Times New Roman" w:hAnsi="Times New Roman" w:cs="Times New Roman"/>
          <w:lang w:val="fr-HT" w:eastAsia="fr-FR"/>
        </w:rPr>
        <w:t> ;</w:t>
      </w:r>
    </w:p>
    <w:p w:rsidR="00930767" w:rsidRPr="007E3F94" w:rsidRDefault="00930767" w:rsidP="007E3F94">
      <w:pPr>
        <w:numPr>
          <w:ilvl w:val="0"/>
          <w:numId w:val="1"/>
        </w:numPr>
        <w:tabs>
          <w:tab w:val="left" w:pos="2175"/>
        </w:tabs>
        <w:spacing w:after="0"/>
        <w:jc w:val="both"/>
        <w:rPr>
          <w:rFonts w:ascii="Times New Roman" w:eastAsia="Times New Roman" w:hAnsi="Times New Roman" w:cs="Times New Roman"/>
          <w:lang w:val="fr-HT" w:eastAsia="fr-FR"/>
        </w:rPr>
      </w:pPr>
      <w:r w:rsidRPr="007E3F94">
        <w:rPr>
          <w:rFonts w:ascii="Times New Roman" w:eastAsia="Times New Roman" w:hAnsi="Times New Roman" w:cs="Times New Roman"/>
          <w:lang w:val="fr-HT" w:eastAsia="fr-FR"/>
        </w:rPr>
        <w:t xml:space="preserve">Suivre </w:t>
      </w:r>
      <w:r w:rsidR="0032637E" w:rsidRPr="007E3F94">
        <w:rPr>
          <w:rFonts w:ascii="Times New Roman" w:eastAsia="Times New Roman" w:hAnsi="Times New Roman" w:cs="Times New Roman"/>
          <w:lang w:val="fr-HT" w:eastAsia="fr-FR"/>
        </w:rPr>
        <w:t xml:space="preserve">et accompagner les membres des CCPC à </w:t>
      </w:r>
      <w:r w:rsidRPr="007E3F94">
        <w:rPr>
          <w:rFonts w:ascii="Times New Roman" w:eastAsia="Times New Roman" w:hAnsi="Times New Roman" w:cs="Times New Roman"/>
          <w:lang w:val="fr-HT" w:eastAsia="fr-FR"/>
        </w:rPr>
        <w:t xml:space="preserve">l’élaboration ou la conception </w:t>
      </w:r>
      <w:r w:rsidR="00B74F0A" w:rsidRPr="007E3F94">
        <w:rPr>
          <w:rFonts w:ascii="Times New Roman" w:eastAsia="Times New Roman" w:hAnsi="Times New Roman" w:cs="Times New Roman"/>
          <w:lang w:val="fr-HT" w:eastAsia="fr-FR"/>
        </w:rPr>
        <w:t xml:space="preserve">des </w:t>
      </w:r>
      <w:r w:rsidRPr="007E3F94">
        <w:rPr>
          <w:rFonts w:ascii="Times New Roman" w:eastAsia="Times New Roman" w:hAnsi="Times New Roman" w:cs="Times New Roman"/>
          <w:lang w:val="fr-HT" w:eastAsia="fr-FR"/>
        </w:rPr>
        <w:t xml:space="preserve">documents de projets  des quinze (15) communes </w:t>
      </w:r>
      <w:r w:rsidR="0032637E" w:rsidRPr="007E3F94">
        <w:rPr>
          <w:rFonts w:ascii="Times New Roman" w:eastAsia="Times New Roman" w:hAnsi="Times New Roman" w:cs="Times New Roman"/>
          <w:lang w:val="fr-HT" w:eastAsia="fr-FR"/>
        </w:rPr>
        <w:t>du département ;</w:t>
      </w:r>
    </w:p>
    <w:p w:rsidR="00930767" w:rsidRPr="007E3F94" w:rsidRDefault="00930767" w:rsidP="007E3F94">
      <w:pPr>
        <w:numPr>
          <w:ilvl w:val="0"/>
          <w:numId w:val="1"/>
        </w:numPr>
        <w:tabs>
          <w:tab w:val="left" w:pos="2175"/>
        </w:tabs>
        <w:spacing w:after="0"/>
        <w:jc w:val="both"/>
        <w:rPr>
          <w:rFonts w:ascii="Times New Roman" w:eastAsia="Times New Roman" w:hAnsi="Times New Roman" w:cs="Times New Roman"/>
          <w:lang w:val="fr-HT" w:eastAsia="fr-FR"/>
        </w:rPr>
      </w:pPr>
      <w:r w:rsidRPr="007E3F94">
        <w:rPr>
          <w:rFonts w:ascii="Times New Roman" w:eastAsia="Times New Roman" w:hAnsi="Times New Roman" w:cs="Times New Roman"/>
          <w:lang w:val="fr-HT" w:eastAsia="fr-FR"/>
        </w:rPr>
        <w:t xml:space="preserve">Animer </w:t>
      </w:r>
      <w:r w:rsidR="0032637E" w:rsidRPr="007E3F94">
        <w:rPr>
          <w:rFonts w:ascii="Times New Roman" w:eastAsia="Times New Roman" w:hAnsi="Times New Roman" w:cs="Times New Roman"/>
          <w:lang w:val="fr-HT" w:eastAsia="fr-FR"/>
        </w:rPr>
        <w:t xml:space="preserve">des ateliers </w:t>
      </w:r>
      <w:r w:rsidRPr="007E3F94">
        <w:rPr>
          <w:rFonts w:ascii="Times New Roman" w:eastAsia="Times New Roman" w:hAnsi="Times New Roman" w:cs="Times New Roman"/>
          <w:lang w:val="fr-HT" w:eastAsia="fr-FR"/>
        </w:rPr>
        <w:t xml:space="preserve">sur la présentation </w:t>
      </w:r>
      <w:r w:rsidR="0032637E" w:rsidRPr="007E3F94">
        <w:rPr>
          <w:rFonts w:ascii="Times New Roman" w:eastAsia="Times New Roman" w:hAnsi="Times New Roman" w:cs="Times New Roman"/>
          <w:lang w:val="fr-HT" w:eastAsia="fr-FR"/>
        </w:rPr>
        <w:t xml:space="preserve">et la validation </w:t>
      </w:r>
      <w:r w:rsidRPr="007E3F94">
        <w:rPr>
          <w:rFonts w:ascii="Times New Roman" w:eastAsia="Times New Roman" w:hAnsi="Times New Roman" w:cs="Times New Roman"/>
          <w:lang w:val="fr-HT" w:eastAsia="fr-FR"/>
        </w:rPr>
        <w:t xml:space="preserve">des documents de projets élaborés </w:t>
      </w:r>
      <w:r w:rsidR="0032637E" w:rsidRPr="007E3F94">
        <w:rPr>
          <w:rFonts w:ascii="Times New Roman" w:eastAsia="Times New Roman" w:hAnsi="Times New Roman" w:cs="Times New Roman"/>
          <w:lang w:val="fr-HT" w:eastAsia="fr-FR"/>
        </w:rPr>
        <w:t>par les membres des CCPC et analyse des bailleurs potentiels ;</w:t>
      </w:r>
    </w:p>
    <w:p w:rsidR="0032637E" w:rsidRPr="007E3F94" w:rsidRDefault="0032637E" w:rsidP="007E3F94">
      <w:pPr>
        <w:numPr>
          <w:ilvl w:val="0"/>
          <w:numId w:val="1"/>
        </w:numPr>
        <w:tabs>
          <w:tab w:val="left" w:pos="2175"/>
        </w:tabs>
        <w:spacing w:after="0"/>
        <w:jc w:val="both"/>
        <w:rPr>
          <w:rFonts w:ascii="Times New Roman" w:eastAsia="Times New Roman" w:hAnsi="Times New Roman" w:cs="Times New Roman"/>
          <w:lang w:val="fr-HT" w:eastAsia="fr-FR"/>
        </w:rPr>
      </w:pPr>
      <w:r w:rsidRPr="007E3F94">
        <w:rPr>
          <w:rFonts w:ascii="Times New Roman" w:hAnsi="Times New Roman" w:cs="Times New Roman"/>
          <w:lang w:val="fr-FR" w:eastAsia="fr-CA"/>
        </w:rPr>
        <w:t>Appuyer le système de certification pour cette thématique des CCPC et de leurs membres  sur la base des critères d’évaluation suivants ;</w:t>
      </w:r>
    </w:p>
    <w:p w:rsidR="0032637E" w:rsidRPr="007E3F94" w:rsidRDefault="0032637E" w:rsidP="007E3F94">
      <w:pPr>
        <w:numPr>
          <w:ilvl w:val="0"/>
          <w:numId w:val="1"/>
        </w:numPr>
        <w:tabs>
          <w:tab w:val="left" w:pos="2175"/>
        </w:tabs>
        <w:spacing w:after="0"/>
        <w:jc w:val="both"/>
        <w:rPr>
          <w:rFonts w:ascii="Times New Roman" w:eastAsia="Times New Roman" w:hAnsi="Times New Roman" w:cs="Times New Roman"/>
          <w:lang w:val="fr-HT" w:eastAsia="fr-FR"/>
        </w:rPr>
      </w:pPr>
      <w:r w:rsidRPr="007E3F94">
        <w:rPr>
          <w:rFonts w:ascii="Times New Roman" w:hAnsi="Times New Roman" w:cs="Times New Roman"/>
          <w:lang w:val="fr-FR" w:eastAsia="fr-CA"/>
        </w:rPr>
        <w:t>Soumettre le rapport final des activités avec les recommandations et les annexes.</w:t>
      </w:r>
    </w:p>
    <w:p w:rsidR="0032637E" w:rsidRPr="007E3F94" w:rsidRDefault="0032637E" w:rsidP="007E3F94">
      <w:pPr>
        <w:pStyle w:val="ListParagraph"/>
        <w:numPr>
          <w:ilvl w:val="0"/>
          <w:numId w:val="5"/>
        </w:numPr>
        <w:tabs>
          <w:tab w:val="left" w:pos="2175"/>
        </w:tabs>
        <w:spacing w:line="276" w:lineRule="auto"/>
        <w:jc w:val="both"/>
        <w:rPr>
          <w:b/>
          <w:sz w:val="22"/>
          <w:szCs w:val="22"/>
          <w:lang w:val="fr-HT" w:eastAsia="fr-FR"/>
        </w:rPr>
      </w:pPr>
      <w:r w:rsidRPr="007E3F94">
        <w:rPr>
          <w:b/>
          <w:sz w:val="22"/>
          <w:szCs w:val="22"/>
          <w:lang w:val="fr-HT" w:eastAsia="fr-FR"/>
        </w:rPr>
        <w:t>Obligation des Participants de la formation</w:t>
      </w:r>
    </w:p>
    <w:p w:rsidR="0032637E" w:rsidRPr="007E3F94" w:rsidRDefault="0032637E" w:rsidP="007E3F94">
      <w:pPr>
        <w:pStyle w:val="ListParagraph"/>
        <w:numPr>
          <w:ilvl w:val="0"/>
          <w:numId w:val="15"/>
        </w:numPr>
        <w:tabs>
          <w:tab w:val="left" w:pos="2175"/>
        </w:tabs>
        <w:spacing w:line="276" w:lineRule="auto"/>
        <w:jc w:val="both"/>
        <w:rPr>
          <w:sz w:val="22"/>
          <w:szCs w:val="22"/>
          <w:lang w:val="fr-HT" w:eastAsia="fr-FR"/>
        </w:rPr>
      </w:pPr>
      <w:r w:rsidRPr="007E3F94">
        <w:rPr>
          <w:sz w:val="22"/>
          <w:szCs w:val="22"/>
          <w:lang w:val="fr-HT" w:eastAsia="fr-FR"/>
        </w:rPr>
        <w:t>Participer à toutes les sessions de formation ;</w:t>
      </w:r>
    </w:p>
    <w:p w:rsidR="0032637E" w:rsidRPr="007E3F94" w:rsidRDefault="0032637E" w:rsidP="007E3F94">
      <w:pPr>
        <w:pStyle w:val="ListParagraph"/>
        <w:numPr>
          <w:ilvl w:val="0"/>
          <w:numId w:val="15"/>
        </w:numPr>
        <w:tabs>
          <w:tab w:val="left" w:pos="2175"/>
        </w:tabs>
        <w:spacing w:line="276" w:lineRule="auto"/>
        <w:jc w:val="both"/>
        <w:rPr>
          <w:sz w:val="22"/>
          <w:szCs w:val="22"/>
          <w:lang w:val="fr-HT" w:eastAsia="fr-FR"/>
        </w:rPr>
      </w:pPr>
      <w:r w:rsidRPr="007E3F94">
        <w:rPr>
          <w:sz w:val="22"/>
          <w:szCs w:val="22"/>
          <w:lang w:val="fr-HT" w:eastAsia="fr-FR"/>
        </w:rPr>
        <w:t>Avoir obtenu la note moyenne de 55 % ou plus ;</w:t>
      </w:r>
    </w:p>
    <w:p w:rsidR="0032637E" w:rsidRPr="007E3F94" w:rsidRDefault="0032637E" w:rsidP="007E3F94">
      <w:pPr>
        <w:pStyle w:val="ListParagraph"/>
        <w:numPr>
          <w:ilvl w:val="0"/>
          <w:numId w:val="15"/>
        </w:numPr>
        <w:tabs>
          <w:tab w:val="left" w:pos="2175"/>
        </w:tabs>
        <w:spacing w:line="276" w:lineRule="auto"/>
        <w:jc w:val="both"/>
        <w:rPr>
          <w:sz w:val="22"/>
          <w:szCs w:val="22"/>
          <w:lang w:val="fr-HT" w:eastAsia="fr-FR"/>
        </w:rPr>
      </w:pPr>
      <w:r w:rsidRPr="007E3F94">
        <w:rPr>
          <w:sz w:val="22"/>
          <w:szCs w:val="22"/>
          <w:lang w:val="fr-HT" w:eastAsia="fr-FR"/>
        </w:rPr>
        <w:t>Etre régulièrement inscrit dans les registres des CCPC ;</w:t>
      </w:r>
    </w:p>
    <w:p w:rsidR="0032637E" w:rsidRPr="007E3F94" w:rsidRDefault="0032637E" w:rsidP="007E3F94">
      <w:pPr>
        <w:pStyle w:val="ListParagraph"/>
        <w:numPr>
          <w:ilvl w:val="0"/>
          <w:numId w:val="15"/>
        </w:numPr>
        <w:tabs>
          <w:tab w:val="left" w:pos="2175"/>
        </w:tabs>
        <w:spacing w:line="276" w:lineRule="auto"/>
        <w:jc w:val="both"/>
        <w:rPr>
          <w:sz w:val="22"/>
          <w:szCs w:val="22"/>
          <w:lang w:val="fr-HT" w:eastAsia="fr-FR"/>
        </w:rPr>
      </w:pPr>
      <w:r w:rsidRPr="007E3F94">
        <w:rPr>
          <w:sz w:val="22"/>
          <w:szCs w:val="22"/>
          <w:lang w:val="fr-HT" w:eastAsia="fr-FR"/>
        </w:rPr>
        <w:t>Avoir signé l’acte d’engagement avec le CCPC.</w:t>
      </w:r>
    </w:p>
    <w:p w:rsidR="00930767" w:rsidRPr="007E3F94" w:rsidRDefault="00930767" w:rsidP="007E3F94">
      <w:pPr>
        <w:pStyle w:val="ListParagraph"/>
        <w:numPr>
          <w:ilvl w:val="0"/>
          <w:numId w:val="5"/>
        </w:numPr>
        <w:tabs>
          <w:tab w:val="left" w:pos="2175"/>
        </w:tabs>
        <w:spacing w:line="276" w:lineRule="auto"/>
        <w:jc w:val="both"/>
        <w:rPr>
          <w:b/>
          <w:sz w:val="22"/>
          <w:szCs w:val="22"/>
          <w:lang w:val="fr-HT" w:eastAsia="fr-FR"/>
        </w:rPr>
      </w:pPr>
      <w:r w:rsidRPr="007E3F94">
        <w:rPr>
          <w:b/>
          <w:sz w:val="22"/>
          <w:szCs w:val="22"/>
          <w:lang w:val="fr-HT" w:eastAsia="fr-FR"/>
        </w:rPr>
        <w:t>Les extrants de la consultation</w:t>
      </w:r>
    </w:p>
    <w:p w:rsidR="00930767" w:rsidRPr="007E3F94" w:rsidRDefault="00930767" w:rsidP="007E3F94">
      <w:pPr>
        <w:tabs>
          <w:tab w:val="left" w:pos="2175"/>
        </w:tabs>
        <w:spacing w:after="0"/>
        <w:jc w:val="both"/>
        <w:rPr>
          <w:rFonts w:ascii="Times New Roman" w:eastAsia="Times New Roman" w:hAnsi="Times New Roman" w:cs="Times New Roman"/>
          <w:lang w:val="fr-HT" w:eastAsia="fr-FR"/>
        </w:rPr>
      </w:pPr>
      <w:r w:rsidRPr="007E3F94">
        <w:rPr>
          <w:rFonts w:ascii="Times New Roman" w:eastAsia="Times New Roman" w:hAnsi="Times New Roman" w:cs="Times New Roman"/>
          <w:lang w:val="fr-HT" w:eastAsia="fr-FR"/>
        </w:rPr>
        <w:t>Le /la consultant(e) fournira à la fin de la période de son travail :</w:t>
      </w:r>
    </w:p>
    <w:p w:rsidR="0032637E" w:rsidRPr="007E3F94" w:rsidRDefault="0032637E" w:rsidP="007E3F94">
      <w:pPr>
        <w:numPr>
          <w:ilvl w:val="0"/>
          <w:numId w:val="2"/>
        </w:numPr>
        <w:tabs>
          <w:tab w:val="left" w:pos="2175"/>
        </w:tabs>
        <w:spacing w:after="0"/>
        <w:jc w:val="both"/>
        <w:rPr>
          <w:rFonts w:ascii="Times New Roman" w:eastAsia="Times New Roman" w:hAnsi="Times New Roman" w:cs="Times New Roman"/>
          <w:lang w:val="fr-HT" w:eastAsia="fr-FR"/>
        </w:rPr>
      </w:pPr>
      <w:r w:rsidRPr="007E3F94">
        <w:rPr>
          <w:rFonts w:ascii="Times New Roman" w:eastAsia="Times New Roman" w:hAnsi="Times New Roman" w:cs="Times New Roman"/>
          <w:lang w:val="fr-HT" w:eastAsia="fr-FR"/>
        </w:rPr>
        <w:t>Le Guide méthodologique de la formation qui comprendra :</w:t>
      </w:r>
    </w:p>
    <w:p w:rsidR="0032637E" w:rsidRPr="007E3F94" w:rsidRDefault="0032637E" w:rsidP="007E3F94">
      <w:pPr>
        <w:numPr>
          <w:ilvl w:val="1"/>
          <w:numId w:val="2"/>
        </w:numPr>
        <w:tabs>
          <w:tab w:val="left" w:pos="2175"/>
        </w:tabs>
        <w:spacing w:after="0"/>
        <w:jc w:val="both"/>
        <w:rPr>
          <w:rFonts w:ascii="Times New Roman" w:eastAsia="Times New Roman" w:hAnsi="Times New Roman" w:cs="Times New Roman"/>
          <w:lang w:val="fr-HT" w:eastAsia="fr-FR"/>
        </w:rPr>
      </w:pPr>
      <w:r w:rsidRPr="007E3F94">
        <w:rPr>
          <w:rFonts w:ascii="Times New Roman" w:eastAsia="Times New Roman" w:hAnsi="Times New Roman" w:cs="Times New Roman"/>
          <w:lang w:val="fr-HT" w:eastAsia="fr-FR"/>
        </w:rPr>
        <w:t>La méthodologie de mise en œuvre de la formation</w:t>
      </w:r>
    </w:p>
    <w:p w:rsidR="0032637E" w:rsidRPr="007E3F94" w:rsidRDefault="0032637E" w:rsidP="007E3F94">
      <w:pPr>
        <w:numPr>
          <w:ilvl w:val="1"/>
          <w:numId w:val="2"/>
        </w:numPr>
        <w:tabs>
          <w:tab w:val="left" w:pos="2175"/>
        </w:tabs>
        <w:spacing w:after="0"/>
        <w:jc w:val="both"/>
        <w:rPr>
          <w:rFonts w:ascii="Times New Roman" w:eastAsia="Times New Roman" w:hAnsi="Times New Roman" w:cs="Times New Roman"/>
          <w:lang w:val="fr-HT" w:eastAsia="fr-FR"/>
        </w:rPr>
      </w:pPr>
      <w:r w:rsidRPr="007E3F94">
        <w:rPr>
          <w:rFonts w:ascii="Times New Roman" w:eastAsia="Times New Roman" w:hAnsi="Times New Roman" w:cs="Times New Roman"/>
          <w:lang w:val="fr-HT" w:eastAsia="fr-FR"/>
        </w:rPr>
        <w:t>La méthodologie d’évaluation de la formation et des compétences des participants</w:t>
      </w:r>
    </w:p>
    <w:p w:rsidR="0032637E" w:rsidRPr="007E3F94" w:rsidRDefault="0032637E" w:rsidP="007E3F94">
      <w:pPr>
        <w:numPr>
          <w:ilvl w:val="0"/>
          <w:numId w:val="2"/>
        </w:numPr>
        <w:tabs>
          <w:tab w:val="left" w:pos="2175"/>
        </w:tabs>
        <w:spacing w:after="0"/>
        <w:jc w:val="both"/>
        <w:rPr>
          <w:rFonts w:ascii="Times New Roman" w:eastAsia="Times New Roman" w:hAnsi="Times New Roman" w:cs="Times New Roman"/>
          <w:lang w:val="fr-HT" w:eastAsia="fr-FR"/>
        </w:rPr>
      </w:pPr>
      <w:r w:rsidRPr="007E3F94">
        <w:rPr>
          <w:rFonts w:ascii="Times New Roman" w:eastAsia="Times New Roman" w:hAnsi="Times New Roman" w:cs="Times New Roman"/>
          <w:lang w:val="fr-HT" w:eastAsia="fr-FR"/>
        </w:rPr>
        <w:t>Le Calendrier d’exécution de la formation ;</w:t>
      </w:r>
    </w:p>
    <w:p w:rsidR="0032637E" w:rsidRPr="007E3F94" w:rsidRDefault="0032637E" w:rsidP="007E3F94">
      <w:pPr>
        <w:numPr>
          <w:ilvl w:val="0"/>
          <w:numId w:val="2"/>
        </w:numPr>
        <w:tabs>
          <w:tab w:val="left" w:pos="2175"/>
        </w:tabs>
        <w:spacing w:after="0"/>
        <w:jc w:val="both"/>
        <w:rPr>
          <w:rFonts w:ascii="Times New Roman" w:eastAsia="Times New Roman" w:hAnsi="Times New Roman" w:cs="Times New Roman"/>
          <w:lang w:val="fr-HT" w:eastAsia="fr-FR"/>
        </w:rPr>
      </w:pPr>
      <w:r w:rsidRPr="007E3F94">
        <w:rPr>
          <w:rFonts w:ascii="Times New Roman" w:eastAsia="Times New Roman" w:hAnsi="Times New Roman" w:cs="Times New Roman"/>
          <w:lang w:val="fr-HT" w:eastAsia="fr-FR"/>
        </w:rPr>
        <w:t>Le Manuel des formateurs ;</w:t>
      </w:r>
    </w:p>
    <w:p w:rsidR="0032637E" w:rsidRPr="007E3F94" w:rsidRDefault="0032637E" w:rsidP="007E3F94">
      <w:pPr>
        <w:numPr>
          <w:ilvl w:val="0"/>
          <w:numId w:val="2"/>
        </w:numPr>
        <w:tabs>
          <w:tab w:val="left" w:pos="2175"/>
        </w:tabs>
        <w:spacing w:after="0"/>
        <w:jc w:val="both"/>
        <w:rPr>
          <w:rFonts w:ascii="Times New Roman" w:eastAsia="Times New Roman" w:hAnsi="Times New Roman" w:cs="Times New Roman"/>
          <w:lang w:val="fr-HT" w:eastAsia="fr-FR"/>
        </w:rPr>
      </w:pPr>
      <w:r w:rsidRPr="007E3F94">
        <w:rPr>
          <w:rFonts w:ascii="Times New Roman" w:eastAsia="Times New Roman" w:hAnsi="Times New Roman" w:cs="Times New Roman"/>
          <w:lang w:val="fr-HT" w:eastAsia="fr-FR"/>
        </w:rPr>
        <w:t>Le Manuel des participants ;</w:t>
      </w:r>
    </w:p>
    <w:p w:rsidR="0032637E" w:rsidRPr="007E3F94" w:rsidRDefault="0032637E" w:rsidP="007E3F94">
      <w:pPr>
        <w:numPr>
          <w:ilvl w:val="0"/>
          <w:numId w:val="2"/>
        </w:numPr>
        <w:tabs>
          <w:tab w:val="left" w:pos="2175"/>
        </w:tabs>
        <w:spacing w:after="0"/>
        <w:jc w:val="both"/>
        <w:rPr>
          <w:rFonts w:ascii="Times New Roman" w:eastAsia="Times New Roman" w:hAnsi="Times New Roman" w:cs="Times New Roman"/>
          <w:lang w:val="fr-HT" w:eastAsia="fr-FR"/>
        </w:rPr>
      </w:pPr>
      <w:r w:rsidRPr="007E3F94">
        <w:rPr>
          <w:rFonts w:ascii="Times New Roman" w:eastAsia="Times New Roman" w:hAnsi="Times New Roman" w:cs="Times New Roman"/>
          <w:lang w:val="fr-HT" w:eastAsia="fr-FR"/>
        </w:rPr>
        <w:t>Le manuel ou guide pratique de Gestion du cycle des projets;</w:t>
      </w:r>
    </w:p>
    <w:p w:rsidR="0032637E" w:rsidRPr="007E3F94" w:rsidRDefault="0032637E" w:rsidP="007E3F94">
      <w:pPr>
        <w:numPr>
          <w:ilvl w:val="0"/>
          <w:numId w:val="2"/>
        </w:numPr>
        <w:tabs>
          <w:tab w:val="left" w:pos="2175"/>
        </w:tabs>
        <w:spacing w:after="0"/>
        <w:jc w:val="both"/>
        <w:rPr>
          <w:rFonts w:ascii="Times New Roman" w:eastAsia="Times New Roman" w:hAnsi="Times New Roman" w:cs="Times New Roman"/>
          <w:lang w:val="fr-HT" w:eastAsia="fr-FR"/>
        </w:rPr>
      </w:pPr>
      <w:r w:rsidRPr="007E3F94">
        <w:rPr>
          <w:rFonts w:ascii="Times New Roman" w:eastAsia="Times New Roman" w:hAnsi="Times New Roman" w:cs="Times New Roman"/>
          <w:lang w:val="fr-HT" w:eastAsia="fr-FR"/>
        </w:rPr>
        <w:t>Un canevas  qui permettra aux comités d´élaborer des projets facilement comme simulation et validés par Oxfam</w:t>
      </w:r>
      <w:r w:rsidR="007E3F94">
        <w:rPr>
          <w:rFonts w:ascii="Times New Roman" w:eastAsia="Times New Roman" w:hAnsi="Times New Roman" w:cs="Times New Roman"/>
          <w:lang w:val="fr-HT" w:eastAsia="fr-FR"/>
        </w:rPr>
        <w:t> ;</w:t>
      </w:r>
    </w:p>
    <w:p w:rsidR="0032637E" w:rsidRPr="007E3F94" w:rsidRDefault="0032637E" w:rsidP="007E3F94">
      <w:pPr>
        <w:numPr>
          <w:ilvl w:val="0"/>
          <w:numId w:val="2"/>
        </w:numPr>
        <w:tabs>
          <w:tab w:val="left" w:pos="2175"/>
        </w:tabs>
        <w:spacing w:after="0"/>
        <w:jc w:val="both"/>
        <w:rPr>
          <w:rFonts w:ascii="Times New Roman" w:eastAsia="Times New Roman" w:hAnsi="Times New Roman" w:cs="Times New Roman"/>
          <w:lang w:val="fr-HT" w:eastAsia="fr-FR"/>
        </w:rPr>
      </w:pPr>
      <w:r w:rsidRPr="007E3F94">
        <w:rPr>
          <w:rFonts w:ascii="Times New Roman" w:eastAsia="Times New Roman" w:hAnsi="Times New Roman" w:cs="Times New Roman"/>
          <w:lang w:val="fr-HT" w:eastAsia="fr-FR"/>
        </w:rPr>
        <w:t>Un petit document de projet conçu et élaboré par chaque C</w:t>
      </w:r>
      <w:r w:rsidR="007E3F94">
        <w:rPr>
          <w:rFonts w:ascii="Times New Roman" w:eastAsia="Times New Roman" w:hAnsi="Times New Roman" w:cs="Times New Roman"/>
          <w:lang w:val="fr-HT" w:eastAsia="fr-FR"/>
        </w:rPr>
        <w:t>CPC ;</w:t>
      </w:r>
    </w:p>
    <w:p w:rsidR="00930767" w:rsidRPr="007E3F94" w:rsidRDefault="0032637E" w:rsidP="007E3F94">
      <w:pPr>
        <w:numPr>
          <w:ilvl w:val="0"/>
          <w:numId w:val="2"/>
        </w:numPr>
        <w:tabs>
          <w:tab w:val="left" w:pos="2175"/>
        </w:tabs>
        <w:spacing w:after="0"/>
        <w:jc w:val="both"/>
        <w:rPr>
          <w:rFonts w:ascii="Times New Roman" w:eastAsia="Times New Roman" w:hAnsi="Times New Roman" w:cs="Times New Roman"/>
          <w:lang w:val="fr-HT" w:eastAsia="fr-FR"/>
        </w:rPr>
      </w:pPr>
      <w:r w:rsidRPr="007E3F94">
        <w:rPr>
          <w:rFonts w:ascii="Times New Roman" w:eastAsia="Times New Roman" w:hAnsi="Times New Roman" w:cs="Times New Roman"/>
          <w:lang w:val="fr-HT" w:eastAsia="fr-FR"/>
        </w:rPr>
        <w:t xml:space="preserve">Le </w:t>
      </w:r>
      <w:r w:rsidR="00930767" w:rsidRPr="007E3F94">
        <w:rPr>
          <w:rFonts w:ascii="Times New Roman" w:eastAsia="Times New Roman" w:hAnsi="Times New Roman" w:cs="Times New Roman"/>
          <w:lang w:val="fr-HT" w:eastAsia="fr-FR"/>
        </w:rPr>
        <w:t>Rapport global narratif contenant des photos sur le déroulement de son travail de consultant</w:t>
      </w:r>
      <w:r w:rsidR="007E3F94">
        <w:rPr>
          <w:rFonts w:ascii="Times New Roman" w:eastAsia="Times New Roman" w:hAnsi="Times New Roman" w:cs="Times New Roman"/>
          <w:lang w:val="fr-HT" w:eastAsia="fr-FR"/>
        </w:rPr>
        <w:t> ;</w:t>
      </w:r>
    </w:p>
    <w:p w:rsidR="0032637E" w:rsidRPr="007E3F94" w:rsidRDefault="0032637E" w:rsidP="007E3F94">
      <w:pPr>
        <w:numPr>
          <w:ilvl w:val="0"/>
          <w:numId w:val="2"/>
        </w:numPr>
        <w:tabs>
          <w:tab w:val="left" w:pos="2175"/>
        </w:tabs>
        <w:spacing w:after="0"/>
        <w:jc w:val="both"/>
        <w:rPr>
          <w:rFonts w:ascii="Times New Roman" w:eastAsia="Times New Roman" w:hAnsi="Times New Roman" w:cs="Times New Roman"/>
          <w:lang w:val="fr-HT" w:eastAsia="fr-FR"/>
        </w:rPr>
      </w:pPr>
      <w:r w:rsidRPr="007E3F94">
        <w:rPr>
          <w:rFonts w:ascii="Times New Roman" w:eastAsia="Times New Roman" w:hAnsi="Times New Roman" w:cs="Times New Roman"/>
          <w:lang w:val="fr-HT" w:eastAsia="fr-FR"/>
        </w:rPr>
        <w:t>La Certification des participants</w:t>
      </w:r>
      <w:r w:rsidR="007E3F94">
        <w:rPr>
          <w:rFonts w:ascii="Times New Roman" w:eastAsia="Times New Roman" w:hAnsi="Times New Roman" w:cs="Times New Roman"/>
          <w:lang w:val="fr-HT" w:eastAsia="fr-FR"/>
        </w:rPr>
        <w:t>.</w:t>
      </w:r>
    </w:p>
    <w:p w:rsidR="00930767" w:rsidRPr="007E3F94" w:rsidRDefault="0032637E" w:rsidP="007E3F94">
      <w:pPr>
        <w:pStyle w:val="ListParagraph"/>
        <w:numPr>
          <w:ilvl w:val="0"/>
          <w:numId w:val="5"/>
        </w:numPr>
        <w:tabs>
          <w:tab w:val="left" w:pos="2175"/>
        </w:tabs>
        <w:spacing w:line="276" w:lineRule="auto"/>
        <w:jc w:val="both"/>
        <w:rPr>
          <w:b/>
          <w:sz w:val="22"/>
          <w:szCs w:val="22"/>
          <w:lang w:val="fr-HT" w:eastAsia="fr-FR"/>
        </w:rPr>
      </w:pPr>
      <w:r w:rsidRPr="007E3F94">
        <w:rPr>
          <w:b/>
          <w:sz w:val="22"/>
          <w:szCs w:val="22"/>
          <w:lang w:val="fr-HT" w:eastAsia="fr-FR"/>
        </w:rPr>
        <w:t>Déroulement de la formation</w:t>
      </w:r>
    </w:p>
    <w:p w:rsidR="0032637E" w:rsidRPr="007E3F94" w:rsidRDefault="00930767" w:rsidP="007E3F94">
      <w:pPr>
        <w:tabs>
          <w:tab w:val="left" w:pos="2175"/>
        </w:tabs>
        <w:spacing w:after="0"/>
        <w:jc w:val="both"/>
        <w:rPr>
          <w:rFonts w:ascii="Times New Roman" w:eastAsia="Times New Roman" w:hAnsi="Times New Roman" w:cs="Times New Roman"/>
          <w:lang w:val="fr-HT" w:eastAsia="fr-FR"/>
        </w:rPr>
      </w:pPr>
      <w:r w:rsidRPr="007E3F94">
        <w:rPr>
          <w:rFonts w:ascii="Times New Roman" w:eastAsia="Times New Roman" w:hAnsi="Times New Roman" w:cs="Times New Roman"/>
          <w:lang w:val="fr-HT" w:eastAsia="fr-FR"/>
        </w:rPr>
        <w:t xml:space="preserve">Le /la consultant(e) </w:t>
      </w:r>
      <w:r w:rsidR="0032637E" w:rsidRPr="007E3F94">
        <w:rPr>
          <w:rFonts w:ascii="Times New Roman" w:eastAsia="Times New Roman" w:hAnsi="Times New Roman" w:cs="Times New Roman"/>
          <w:lang w:val="fr-HT" w:eastAsia="fr-FR"/>
        </w:rPr>
        <w:t>ou la firme de consultation</w:t>
      </w:r>
      <w:r w:rsidRPr="007E3F94">
        <w:rPr>
          <w:rFonts w:ascii="Times New Roman" w:eastAsia="Times New Roman" w:hAnsi="Times New Roman" w:cs="Times New Roman"/>
          <w:lang w:val="fr-HT" w:eastAsia="fr-FR"/>
        </w:rPr>
        <w:t xml:space="preserve"> </w:t>
      </w:r>
      <w:r w:rsidR="0032637E" w:rsidRPr="007E3F94">
        <w:rPr>
          <w:rFonts w:ascii="Times New Roman" w:eastAsia="Times New Roman" w:hAnsi="Times New Roman" w:cs="Times New Roman"/>
          <w:lang w:val="fr-HT" w:eastAsia="fr-FR"/>
        </w:rPr>
        <w:t>présentera :</w:t>
      </w:r>
    </w:p>
    <w:p w:rsidR="0032637E" w:rsidRPr="007E3F94" w:rsidRDefault="0032637E" w:rsidP="007E3F94">
      <w:pPr>
        <w:pStyle w:val="ListParagraph"/>
        <w:numPr>
          <w:ilvl w:val="0"/>
          <w:numId w:val="14"/>
        </w:numPr>
        <w:tabs>
          <w:tab w:val="left" w:pos="2175"/>
        </w:tabs>
        <w:spacing w:line="276" w:lineRule="auto"/>
        <w:ind w:left="1080"/>
        <w:jc w:val="both"/>
        <w:rPr>
          <w:sz w:val="22"/>
          <w:szCs w:val="22"/>
          <w:lang w:val="fr-HT" w:eastAsia="fr-FR"/>
        </w:rPr>
      </w:pPr>
      <w:r w:rsidRPr="007E3F94">
        <w:rPr>
          <w:sz w:val="22"/>
          <w:szCs w:val="22"/>
          <w:lang w:val="fr-HT" w:eastAsia="fr-FR"/>
        </w:rPr>
        <w:t>La marche à suivre de la formation et des differentes activités ;</w:t>
      </w:r>
    </w:p>
    <w:p w:rsidR="0032637E" w:rsidRPr="007E3F94" w:rsidRDefault="0032637E" w:rsidP="007E3F94">
      <w:pPr>
        <w:pStyle w:val="ListParagraph"/>
        <w:numPr>
          <w:ilvl w:val="0"/>
          <w:numId w:val="14"/>
        </w:numPr>
        <w:tabs>
          <w:tab w:val="left" w:pos="2175"/>
        </w:tabs>
        <w:spacing w:line="276" w:lineRule="auto"/>
        <w:ind w:left="1080"/>
        <w:jc w:val="both"/>
        <w:rPr>
          <w:sz w:val="22"/>
          <w:szCs w:val="22"/>
          <w:lang w:val="fr-HT" w:eastAsia="fr-FR"/>
        </w:rPr>
      </w:pPr>
      <w:r w:rsidRPr="007E3F94">
        <w:rPr>
          <w:sz w:val="22"/>
          <w:szCs w:val="22"/>
          <w:lang w:val="fr-HT" w:eastAsia="fr-FR"/>
        </w:rPr>
        <w:t>Les champs et concepts relatifs à la gestion du projet ;</w:t>
      </w:r>
    </w:p>
    <w:p w:rsidR="00930767" w:rsidRPr="007E3F94" w:rsidRDefault="0032637E" w:rsidP="007E3F94">
      <w:pPr>
        <w:numPr>
          <w:ilvl w:val="0"/>
          <w:numId w:val="3"/>
        </w:numPr>
        <w:tabs>
          <w:tab w:val="left" w:pos="2175"/>
        </w:tabs>
        <w:spacing w:after="0"/>
        <w:ind w:left="1020"/>
        <w:jc w:val="both"/>
        <w:rPr>
          <w:rFonts w:ascii="Times New Roman" w:eastAsia="Times New Roman" w:hAnsi="Times New Roman" w:cs="Times New Roman"/>
          <w:lang w:val="fr-HT" w:eastAsia="fr-FR"/>
        </w:rPr>
      </w:pPr>
      <w:r w:rsidRPr="007E3F94">
        <w:rPr>
          <w:rFonts w:ascii="Times New Roman" w:eastAsia="Times New Roman" w:hAnsi="Times New Roman" w:cs="Times New Roman"/>
          <w:lang w:val="fr-HT" w:eastAsia="fr-FR"/>
        </w:rPr>
        <w:t xml:space="preserve">La </w:t>
      </w:r>
      <w:r w:rsidR="00930767" w:rsidRPr="007E3F94">
        <w:rPr>
          <w:rFonts w:ascii="Times New Roman" w:eastAsia="Times New Roman" w:hAnsi="Times New Roman" w:cs="Times New Roman"/>
          <w:lang w:val="fr-HT" w:eastAsia="fr-FR"/>
        </w:rPr>
        <w:t>réalisation d’atelier pour la rédaction des documents de projets identifi</w:t>
      </w:r>
      <w:r w:rsidR="0055719F" w:rsidRPr="007E3F94">
        <w:rPr>
          <w:rFonts w:ascii="Times New Roman" w:eastAsia="Times New Roman" w:hAnsi="Times New Roman" w:cs="Times New Roman"/>
          <w:lang w:val="fr-HT" w:eastAsia="fr-FR"/>
        </w:rPr>
        <w:t>é</w:t>
      </w:r>
      <w:r w:rsidR="00930767" w:rsidRPr="007E3F94">
        <w:rPr>
          <w:rFonts w:ascii="Times New Roman" w:eastAsia="Times New Roman" w:hAnsi="Times New Roman" w:cs="Times New Roman"/>
          <w:lang w:val="fr-HT" w:eastAsia="fr-FR"/>
        </w:rPr>
        <w:t>s et retenu</w:t>
      </w:r>
      <w:r w:rsidR="0055719F" w:rsidRPr="007E3F94">
        <w:rPr>
          <w:rFonts w:ascii="Times New Roman" w:eastAsia="Times New Roman" w:hAnsi="Times New Roman" w:cs="Times New Roman"/>
          <w:lang w:val="fr-HT" w:eastAsia="fr-FR"/>
        </w:rPr>
        <w:t>s comme prioritaires par les CCPC</w:t>
      </w:r>
      <w:r w:rsidR="007E3F94">
        <w:rPr>
          <w:rFonts w:ascii="Times New Roman" w:eastAsia="Times New Roman" w:hAnsi="Times New Roman" w:cs="Times New Roman"/>
          <w:lang w:val="fr-HT" w:eastAsia="fr-FR"/>
        </w:rPr>
        <w:t> ;</w:t>
      </w:r>
    </w:p>
    <w:p w:rsidR="00930767" w:rsidRDefault="0032637E" w:rsidP="007E3F94">
      <w:pPr>
        <w:numPr>
          <w:ilvl w:val="0"/>
          <w:numId w:val="3"/>
        </w:numPr>
        <w:tabs>
          <w:tab w:val="left" w:pos="2175"/>
        </w:tabs>
        <w:spacing w:after="0"/>
        <w:ind w:left="1020"/>
        <w:jc w:val="both"/>
        <w:rPr>
          <w:rFonts w:ascii="Times New Roman" w:eastAsia="Times New Roman" w:hAnsi="Times New Roman" w:cs="Times New Roman"/>
          <w:lang w:val="fr-HT" w:eastAsia="fr-FR"/>
        </w:rPr>
      </w:pPr>
      <w:r w:rsidRPr="007E3F94">
        <w:rPr>
          <w:rFonts w:ascii="Times New Roman" w:eastAsia="Times New Roman" w:hAnsi="Times New Roman" w:cs="Times New Roman"/>
          <w:lang w:val="fr-HT" w:eastAsia="fr-FR"/>
        </w:rPr>
        <w:t xml:space="preserve">Une session </w:t>
      </w:r>
      <w:r w:rsidR="00930767" w:rsidRPr="007E3F94">
        <w:rPr>
          <w:rFonts w:ascii="Times New Roman" w:eastAsia="Times New Roman" w:hAnsi="Times New Roman" w:cs="Times New Roman"/>
          <w:lang w:val="fr-HT" w:eastAsia="fr-FR"/>
        </w:rPr>
        <w:t xml:space="preserve">pour la présentation des documents </w:t>
      </w:r>
      <w:r w:rsidR="0055719F" w:rsidRPr="007E3F94">
        <w:rPr>
          <w:rFonts w:ascii="Times New Roman" w:eastAsia="Times New Roman" w:hAnsi="Times New Roman" w:cs="Times New Roman"/>
          <w:lang w:val="fr-HT" w:eastAsia="fr-FR"/>
        </w:rPr>
        <w:t>de projets élaborés</w:t>
      </w:r>
      <w:r w:rsidR="00930767" w:rsidRPr="007E3F94">
        <w:rPr>
          <w:rFonts w:ascii="Times New Roman" w:eastAsia="Times New Roman" w:hAnsi="Times New Roman" w:cs="Times New Roman"/>
          <w:lang w:val="fr-HT" w:eastAsia="fr-FR"/>
        </w:rPr>
        <w:t xml:space="preserve"> </w:t>
      </w:r>
      <w:r w:rsidRPr="007E3F94">
        <w:rPr>
          <w:rFonts w:ascii="Times New Roman" w:eastAsia="Times New Roman" w:hAnsi="Times New Roman" w:cs="Times New Roman"/>
          <w:lang w:val="fr-HT" w:eastAsia="fr-FR"/>
        </w:rPr>
        <w:t>et des bailleurs potentiels.</w:t>
      </w:r>
    </w:p>
    <w:p w:rsidR="007E3F94" w:rsidRPr="007E3F94" w:rsidRDefault="007E3F94" w:rsidP="007E3F94">
      <w:pPr>
        <w:tabs>
          <w:tab w:val="left" w:pos="2175"/>
        </w:tabs>
        <w:spacing w:after="0"/>
        <w:jc w:val="both"/>
        <w:rPr>
          <w:rFonts w:ascii="Times New Roman" w:eastAsia="Times New Roman" w:hAnsi="Times New Roman" w:cs="Times New Roman"/>
          <w:lang w:val="fr-HT" w:eastAsia="fr-FR"/>
        </w:rPr>
      </w:pPr>
    </w:p>
    <w:p w:rsidR="00930767" w:rsidRPr="007E3F94" w:rsidRDefault="00930767" w:rsidP="007E3F94">
      <w:pPr>
        <w:pStyle w:val="ListParagraph"/>
        <w:numPr>
          <w:ilvl w:val="0"/>
          <w:numId w:val="5"/>
        </w:numPr>
        <w:spacing w:line="276" w:lineRule="auto"/>
        <w:jc w:val="both"/>
        <w:rPr>
          <w:b/>
          <w:sz w:val="22"/>
          <w:szCs w:val="22"/>
          <w:lang w:val="fr-HT" w:eastAsia="fr-FR"/>
        </w:rPr>
      </w:pPr>
      <w:r w:rsidRPr="007E3F94">
        <w:rPr>
          <w:b/>
          <w:sz w:val="22"/>
          <w:szCs w:val="22"/>
          <w:lang w:val="fr-HT" w:eastAsia="fr-FR"/>
        </w:rPr>
        <w:t>Logistique et Ressources Humaines</w:t>
      </w:r>
    </w:p>
    <w:p w:rsidR="0032637E" w:rsidRPr="007E3F94" w:rsidRDefault="0032637E" w:rsidP="007E3F94">
      <w:pPr>
        <w:pStyle w:val="ListParagraph"/>
        <w:numPr>
          <w:ilvl w:val="0"/>
          <w:numId w:val="4"/>
        </w:numPr>
        <w:spacing w:line="276" w:lineRule="auto"/>
        <w:jc w:val="both"/>
        <w:rPr>
          <w:sz w:val="22"/>
          <w:szCs w:val="22"/>
          <w:lang w:val="fr-HT" w:eastAsia="fr-FR"/>
        </w:rPr>
      </w:pPr>
      <w:r w:rsidRPr="007E3F94">
        <w:rPr>
          <w:sz w:val="22"/>
          <w:szCs w:val="22"/>
          <w:lang w:val="fr-HT" w:eastAsia="fr-FR"/>
        </w:rPr>
        <w:t>Quel que soit le lot choisi, le consortium Oxfam America ne mettra à la disposition du consultant aucun moyen logistique pour la réalisation du mandat ;</w:t>
      </w:r>
    </w:p>
    <w:p w:rsidR="0032637E" w:rsidRPr="007E3F94" w:rsidRDefault="0032637E" w:rsidP="007E3F94">
      <w:pPr>
        <w:pStyle w:val="ListParagraph"/>
        <w:numPr>
          <w:ilvl w:val="0"/>
          <w:numId w:val="4"/>
        </w:numPr>
        <w:spacing w:line="276" w:lineRule="auto"/>
        <w:jc w:val="both"/>
        <w:rPr>
          <w:sz w:val="22"/>
          <w:szCs w:val="22"/>
          <w:lang w:val="fr-HT" w:eastAsia="fr-FR"/>
        </w:rPr>
      </w:pPr>
      <w:r w:rsidRPr="007E3F94">
        <w:rPr>
          <w:sz w:val="22"/>
          <w:szCs w:val="22"/>
          <w:lang w:val="fr-HT" w:eastAsia="fr-FR"/>
        </w:rPr>
        <w:t>Le consultant ou la firme de consultation est responsable pour le recrutement du personnel technique nécessaire à la réalisation de la mission ;</w:t>
      </w:r>
    </w:p>
    <w:p w:rsidR="0032637E" w:rsidRPr="007E3F94" w:rsidRDefault="0032637E" w:rsidP="007E3F94">
      <w:pPr>
        <w:pStyle w:val="ListParagraph"/>
        <w:numPr>
          <w:ilvl w:val="0"/>
          <w:numId w:val="4"/>
        </w:numPr>
        <w:spacing w:line="276" w:lineRule="auto"/>
        <w:jc w:val="both"/>
        <w:rPr>
          <w:sz w:val="22"/>
          <w:szCs w:val="22"/>
          <w:lang w:val="fr-HT" w:eastAsia="fr-FR"/>
        </w:rPr>
      </w:pPr>
      <w:r w:rsidRPr="007E3F94">
        <w:rPr>
          <w:sz w:val="22"/>
          <w:szCs w:val="22"/>
          <w:lang w:val="fr-HT" w:eastAsia="fr-FR"/>
        </w:rPr>
        <w:t>Le personnel technique engagé par le consultant dans le cadre de la mission sera entièrement sous sa responsabilité ;</w:t>
      </w:r>
    </w:p>
    <w:p w:rsidR="0032637E" w:rsidRPr="007E3F94" w:rsidRDefault="0032637E" w:rsidP="007E3F94">
      <w:pPr>
        <w:pStyle w:val="ListParagraph"/>
        <w:numPr>
          <w:ilvl w:val="0"/>
          <w:numId w:val="4"/>
        </w:numPr>
        <w:spacing w:line="276" w:lineRule="auto"/>
        <w:jc w:val="both"/>
        <w:rPr>
          <w:sz w:val="22"/>
          <w:szCs w:val="22"/>
          <w:lang w:val="fr-HT" w:eastAsia="fr-FR"/>
        </w:rPr>
      </w:pPr>
      <w:r w:rsidRPr="007E3F94">
        <w:rPr>
          <w:sz w:val="22"/>
          <w:szCs w:val="22"/>
          <w:lang w:val="fr-HT" w:eastAsia="fr-FR"/>
        </w:rPr>
        <w:t>Le staff management du projet accompagnera le consultant ou la firme de consultation pour tous les besoins relatifs à leurs taches;</w:t>
      </w:r>
    </w:p>
    <w:p w:rsidR="0032637E" w:rsidRPr="007E3F94" w:rsidRDefault="0032637E" w:rsidP="007E3F94">
      <w:pPr>
        <w:pStyle w:val="ListParagraph"/>
        <w:numPr>
          <w:ilvl w:val="0"/>
          <w:numId w:val="4"/>
        </w:numPr>
        <w:spacing w:line="276" w:lineRule="auto"/>
        <w:jc w:val="both"/>
        <w:rPr>
          <w:sz w:val="22"/>
          <w:szCs w:val="22"/>
          <w:lang w:val="fr-HT" w:eastAsia="fr-FR"/>
        </w:rPr>
      </w:pPr>
      <w:r w:rsidRPr="007E3F94">
        <w:rPr>
          <w:sz w:val="22"/>
          <w:szCs w:val="22"/>
          <w:lang w:val="fr-HT" w:eastAsia="fr-FR"/>
        </w:rPr>
        <w:t xml:space="preserve">Le personnel d’Oxfam se chargeront de la mobilisation des membres des comités concernes. </w:t>
      </w:r>
    </w:p>
    <w:p w:rsidR="0032637E" w:rsidRPr="007E3F94" w:rsidRDefault="00930767" w:rsidP="007E3F94">
      <w:pPr>
        <w:pStyle w:val="ListParagraph"/>
        <w:numPr>
          <w:ilvl w:val="0"/>
          <w:numId w:val="4"/>
        </w:numPr>
        <w:spacing w:line="276" w:lineRule="auto"/>
        <w:jc w:val="both"/>
        <w:rPr>
          <w:sz w:val="22"/>
          <w:szCs w:val="22"/>
          <w:lang w:val="fr-HT"/>
        </w:rPr>
      </w:pPr>
      <w:r w:rsidRPr="007E3F94">
        <w:rPr>
          <w:sz w:val="22"/>
          <w:szCs w:val="22"/>
          <w:lang w:val="fr-HT"/>
        </w:rPr>
        <w:t xml:space="preserve">L´hébergement des </w:t>
      </w:r>
      <w:r w:rsidR="0055719F" w:rsidRPr="007E3F94">
        <w:rPr>
          <w:sz w:val="22"/>
          <w:szCs w:val="22"/>
          <w:lang w:val="fr-HT"/>
        </w:rPr>
        <w:t>participants de la formation</w:t>
      </w:r>
      <w:r w:rsidRPr="007E3F94">
        <w:rPr>
          <w:sz w:val="22"/>
          <w:szCs w:val="22"/>
          <w:lang w:val="fr-HT"/>
        </w:rPr>
        <w:t xml:space="preserve"> seront à la cha</w:t>
      </w:r>
      <w:r w:rsidR="0032637E" w:rsidRPr="007E3F94">
        <w:rPr>
          <w:sz w:val="22"/>
          <w:szCs w:val="22"/>
          <w:lang w:val="fr-HT"/>
        </w:rPr>
        <w:t>rge d’Oxfam.</w:t>
      </w:r>
    </w:p>
    <w:p w:rsidR="0032637E" w:rsidRPr="007E3F94" w:rsidRDefault="0032637E" w:rsidP="007E3F94">
      <w:pPr>
        <w:pStyle w:val="ListParagraph"/>
        <w:numPr>
          <w:ilvl w:val="0"/>
          <w:numId w:val="5"/>
        </w:numPr>
        <w:spacing w:line="276" w:lineRule="auto"/>
        <w:jc w:val="both"/>
        <w:rPr>
          <w:sz w:val="22"/>
          <w:szCs w:val="22"/>
          <w:lang w:val="fr-HT"/>
        </w:rPr>
      </w:pPr>
      <w:r w:rsidRPr="007E3F94">
        <w:rPr>
          <w:b/>
          <w:sz w:val="22"/>
          <w:szCs w:val="22"/>
          <w:lang w:eastAsia="fr-FR"/>
        </w:rPr>
        <w:t>Profil  du/ de la Consultant(e)</w:t>
      </w:r>
    </w:p>
    <w:p w:rsidR="0032637E" w:rsidRPr="007E3F94" w:rsidRDefault="0032637E" w:rsidP="007E3F94">
      <w:pPr>
        <w:numPr>
          <w:ilvl w:val="0"/>
          <w:numId w:val="11"/>
        </w:numPr>
        <w:spacing w:after="0"/>
        <w:contextualSpacing/>
        <w:jc w:val="both"/>
        <w:rPr>
          <w:rFonts w:ascii="Times New Roman" w:hAnsi="Times New Roman" w:cs="Times New Roman"/>
          <w:lang w:val="fr-FR"/>
        </w:rPr>
      </w:pPr>
      <w:r w:rsidRPr="0032637E">
        <w:rPr>
          <w:rFonts w:ascii="Times New Roman" w:eastAsia="Times New Roman" w:hAnsi="Times New Roman" w:cs="Times New Roman"/>
          <w:lang w:val="fr-FR"/>
        </w:rPr>
        <w:t xml:space="preserve">Expertise et expériences minimale démontrées d’au moins 5 ans à un niveau senior en Gestion de projet et renforcement institutionnel ; </w:t>
      </w:r>
    </w:p>
    <w:p w:rsidR="0032637E" w:rsidRPr="007E3F94" w:rsidRDefault="0032637E" w:rsidP="007E3F94">
      <w:pPr>
        <w:numPr>
          <w:ilvl w:val="0"/>
          <w:numId w:val="11"/>
        </w:numPr>
        <w:spacing w:after="0"/>
        <w:ind w:left="1440"/>
        <w:contextualSpacing/>
        <w:jc w:val="both"/>
        <w:rPr>
          <w:rFonts w:ascii="Times New Roman" w:hAnsi="Times New Roman" w:cs="Times New Roman"/>
          <w:lang w:val="fr-FR"/>
        </w:rPr>
      </w:pPr>
      <w:r w:rsidRPr="007E3F94">
        <w:rPr>
          <w:rFonts w:ascii="Times New Roman" w:hAnsi="Times New Roman" w:cs="Times New Roman"/>
          <w:lang w:val="fr-FR"/>
        </w:rPr>
        <w:t xml:space="preserve">Avoir une bonne connaissance du Système National de Gestion des Risques et des Désastres (SNGRD) ; </w:t>
      </w:r>
    </w:p>
    <w:p w:rsidR="0032637E" w:rsidRPr="007E3F94" w:rsidRDefault="0032637E" w:rsidP="007E3F94">
      <w:pPr>
        <w:numPr>
          <w:ilvl w:val="0"/>
          <w:numId w:val="11"/>
        </w:numPr>
        <w:spacing w:after="0"/>
        <w:ind w:left="1440"/>
        <w:contextualSpacing/>
        <w:jc w:val="both"/>
        <w:rPr>
          <w:rFonts w:ascii="Times New Roman" w:hAnsi="Times New Roman" w:cs="Times New Roman"/>
        </w:rPr>
      </w:pPr>
      <w:r w:rsidRPr="007E3F94">
        <w:rPr>
          <w:rFonts w:ascii="Times New Roman" w:eastAsia="Times New Roman" w:hAnsi="Times New Roman" w:cs="Times New Roman"/>
          <w:lang w:val="fr-FR"/>
        </w:rPr>
        <w:t>Bonne connaissance du contexte haïtien et des communautés rurales ;</w:t>
      </w:r>
    </w:p>
    <w:p w:rsidR="0032637E" w:rsidRPr="0032637E" w:rsidRDefault="0032637E" w:rsidP="007E3F94">
      <w:pPr>
        <w:pStyle w:val="ListParagraph"/>
        <w:numPr>
          <w:ilvl w:val="0"/>
          <w:numId w:val="11"/>
        </w:numPr>
        <w:spacing w:line="276" w:lineRule="auto"/>
        <w:ind w:left="1440"/>
        <w:jc w:val="both"/>
        <w:rPr>
          <w:sz w:val="22"/>
          <w:szCs w:val="22"/>
        </w:rPr>
      </w:pPr>
      <w:r w:rsidRPr="0032637E">
        <w:rPr>
          <w:sz w:val="22"/>
          <w:szCs w:val="22"/>
        </w:rPr>
        <w:t>Expériences dans l'élaboration de stratégies de développement des capacités et   d’analyse institutionnelle, financière et administrative au sein des Organisations Non Gouvernementales et des Organisations Communautaires de Base ;</w:t>
      </w:r>
    </w:p>
    <w:p w:rsidR="0032637E" w:rsidRPr="0032637E" w:rsidRDefault="0032637E" w:rsidP="007E3F94">
      <w:pPr>
        <w:numPr>
          <w:ilvl w:val="0"/>
          <w:numId w:val="11"/>
        </w:numPr>
        <w:spacing w:after="0"/>
        <w:ind w:left="1440"/>
        <w:contextualSpacing/>
        <w:jc w:val="both"/>
        <w:rPr>
          <w:rFonts w:ascii="Times New Roman" w:eastAsia="Times New Roman" w:hAnsi="Times New Roman" w:cs="Times New Roman"/>
          <w:lang w:val="fr-FR"/>
        </w:rPr>
      </w:pPr>
      <w:r w:rsidRPr="0032637E">
        <w:rPr>
          <w:rFonts w:ascii="Times New Roman" w:eastAsia="Times New Roman" w:hAnsi="Times New Roman" w:cs="Times New Roman"/>
          <w:lang w:val="fr-FR"/>
        </w:rPr>
        <w:t>Expérience dans le suivi/évaluation des programmes humanitaires et développements ;</w:t>
      </w:r>
    </w:p>
    <w:p w:rsidR="0032637E" w:rsidRPr="0032637E" w:rsidRDefault="0032637E" w:rsidP="007E3F94">
      <w:pPr>
        <w:numPr>
          <w:ilvl w:val="0"/>
          <w:numId w:val="11"/>
        </w:numPr>
        <w:spacing w:after="0"/>
        <w:ind w:left="1440"/>
        <w:contextualSpacing/>
        <w:jc w:val="both"/>
        <w:rPr>
          <w:rFonts w:ascii="Times New Roman" w:eastAsia="Times New Roman" w:hAnsi="Times New Roman" w:cs="Times New Roman"/>
          <w:lang w:val="fr-FR"/>
        </w:rPr>
      </w:pPr>
      <w:r w:rsidRPr="0032637E">
        <w:rPr>
          <w:rFonts w:ascii="Times New Roman" w:eastAsia="Times New Roman" w:hAnsi="Times New Roman" w:cs="Times New Roman"/>
          <w:lang w:val="fr-FR"/>
        </w:rPr>
        <w:t>Expérience de travail avec les comités communaux de protection civile ;</w:t>
      </w:r>
    </w:p>
    <w:p w:rsidR="0032637E" w:rsidRPr="0032637E" w:rsidRDefault="0032637E" w:rsidP="007E3F94">
      <w:pPr>
        <w:numPr>
          <w:ilvl w:val="0"/>
          <w:numId w:val="11"/>
        </w:numPr>
        <w:spacing w:after="0"/>
        <w:ind w:left="1440"/>
        <w:contextualSpacing/>
        <w:jc w:val="both"/>
        <w:rPr>
          <w:rFonts w:ascii="Times New Roman" w:eastAsia="Times New Roman" w:hAnsi="Times New Roman" w:cs="Times New Roman"/>
          <w:lang w:val="fr-FR"/>
        </w:rPr>
      </w:pPr>
      <w:r w:rsidRPr="0032637E">
        <w:rPr>
          <w:rFonts w:ascii="Times New Roman" w:eastAsia="Times New Roman" w:hAnsi="Times New Roman" w:cs="Times New Roman"/>
          <w:lang w:val="fr-FR"/>
        </w:rPr>
        <w:t>Bonne capacité de communication orale en créole et en français ;</w:t>
      </w:r>
    </w:p>
    <w:p w:rsidR="0032637E" w:rsidRPr="0032637E" w:rsidRDefault="0032637E" w:rsidP="007E3F94">
      <w:pPr>
        <w:numPr>
          <w:ilvl w:val="0"/>
          <w:numId w:val="10"/>
        </w:numPr>
        <w:tabs>
          <w:tab w:val="left" w:pos="2175"/>
        </w:tabs>
        <w:spacing w:after="0"/>
        <w:jc w:val="both"/>
        <w:rPr>
          <w:rFonts w:ascii="Times New Roman" w:eastAsia="Times New Roman" w:hAnsi="Times New Roman" w:cs="Times New Roman"/>
          <w:lang w:val="fr-HT" w:eastAsia="fr-FR"/>
        </w:rPr>
      </w:pPr>
      <w:r w:rsidRPr="0032637E">
        <w:rPr>
          <w:rFonts w:ascii="Times New Roman" w:eastAsia="Times New Roman" w:hAnsi="Times New Roman" w:cs="Times New Roman"/>
          <w:lang w:val="fr-HT" w:eastAsia="fr-FR"/>
        </w:rPr>
        <w:t>Avoir une bonne capacité de communication et aptitude à conduire un débat contradictoire sans s’y mêler et prendre parti ;</w:t>
      </w:r>
    </w:p>
    <w:p w:rsidR="0032637E" w:rsidRPr="0032637E" w:rsidRDefault="0032637E" w:rsidP="007E3F94">
      <w:pPr>
        <w:numPr>
          <w:ilvl w:val="0"/>
          <w:numId w:val="10"/>
        </w:numPr>
        <w:tabs>
          <w:tab w:val="left" w:pos="2175"/>
        </w:tabs>
        <w:spacing w:after="0"/>
        <w:jc w:val="both"/>
        <w:rPr>
          <w:rFonts w:ascii="Times New Roman" w:eastAsia="Times New Roman" w:hAnsi="Times New Roman" w:cs="Times New Roman"/>
          <w:lang w:val="fr-HT" w:eastAsia="fr-FR"/>
        </w:rPr>
      </w:pPr>
      <w:r w:rsidRPr="0032637E">
        <w:rPr>
          <w:rFonts w:ascii="Times New Roman" w:eastAsia="Times New Roman" w:hAnsi="Times New Roman" w:cs="Times New Roman"/>
          <w:lang w:val="fr-HT" w:eastAsia="fr-FR"/>
        </w:rPr>
        <w:t>Avoir une bonne connaissance du Département de l’Artibonite un atout important.</w:t>
      </w:r>
    </w:p>
    <w:p w:rsidR="0032637E" w:rsidRPr="007E3F94" w:rsidRDefault="0032637E" w:rsidP="007E3F94">
      <w:pPr>
        <w:pStyle w:val="ListParagraph"/>
        <w:numPr>
          <w:ilvl w:val="0"/>
          <w:numId w:val="5"/>
        </w:numPr>
        <w:spacing w:line="276" w:lineRule="auto"/>
        <w:jc w:val="both"/>
        <w:rPr>
          <w:b/>
          <w:sz w:val="22"/>
          <w:szCs w:val="22"/>
        </w:rPr>
      </w:pPr>
      <w:r w:rsidRPr="007E3F94">
        <w:rPr>
          <w:b/>
          <w:sz w:val="22"/>
          <w:szCs w:val="22"/>
        </w:rPr>
        <w:t>Calendrier du processus et Durée de la formation</w:t>
      </w:r>
    </w:p>
    <w:p w:rsidR="0032637E" w:rsidRPr="0032637E" w:rsidRDefault="0032637E" w:rsidP="007E3F94">
      <w:pPr>
        <w:spacing w:after="0"/>
        <w:jc w:val="both"/>
        <w:rPr>
          <w:rFonts w:ascii="Times New Roman" w:eastAsia="Times New Roman" w:hAnsi="Times New Roman" w:cs="Times New Roman"/>
          <w:lang w:val="fr-FR"/>
        </w:rPr>
      </w:pPr>
      <w:r w:rsidRPr="0032637E">
        <w:rPr>
          <w:rFonts w:ascii="Times New Roman" w:eastAsia="Times New Roman" w:hAnsi="Times New Roman" w:cs="Times New Roman"/>
          <w:lang w:val="fr-FR"/>
        </w:rPr>
        <w:t xml:space="preserve">Le processus de sélection du </w:t>
      </w:r>
      <w:r w:rsidRPr="007E3F94">
        <w:rPr>
          <w:rFonts w:ascii="Times New Roman" w:eastAsia="Times New Roman" w:hAnsi="Times New Roman" w:cs="Times New Roman"/>
          <w:lang w:val="fr-FR"/>
        </w:rPr>
        <w:t xml:space="preserve">consultant ou de la firme de consultation est </w:t>
      </w:r>
      <w:r w:rsidRPr="0032637E">
        <w:rPr>
          <w:rFonts w:ascii="Times New Roman" w:eastAsia="Times New Roman" w:hAnsi="Times New Roman" w:cs="Times New Roman"/>
          <w:lang w:val="fr-FR"/>
        </w:rPr>
        <w:t xml:space="preserve">ainsi défini : </w:t>
      </w:r>
    </w:p>
    <w:p w:rsidR="0032637E" w:rsidRPr="0032637E" w:rsidRDefault="0032637E" w:rsidP="007E3F94">
      <w:pPr>
        <w:numPr>
          <w:ilvl w:val="0"/>
          <w:numId w:val="9"/>
        </w:numPr>
        <w:spacing w:after="0"/>
        <w:jc w:val="both"/>
        <w:rPr>
          <w:rFonts w:ascii="Times New Roman" w:eastAsia="Times New Roman" w:hAnsi="Times New Roman" w:cs="Times New Roman"/>
          <w:lang w:val="fr-FR"/>
        </w:rPr>
      </w:pPr>
      <w:bookmarkStart w:id="0" w:name="_GoBack"/>
      <w:bookmarkEnd w:id="0"/>
      <w:r w:rsidRPr="0032637E">
        <w:rPr>
          <w:rFonts w:ascii="Times New Roman" w:eastAsia="Times New Roman" w:hAnsi="Times New Roman" w:cs="Times New Roman"/>
          <w:lang w:val="fr-FR"/>
        </w:rPr>
        <w:t xml:space="preserve">Date limite de Soumission de l’offre technique et financière: Vendredi </w:t>
      </w:r>
      <w:r w:rsidRPr="007E3F94">
        <w:rPr>
          <w:rFonts w:ascii="Times New Roman" w:eastAsia="Times New Roman" w:hAnsi="Times New Roman" w:cs="Times New Roman"/>
          <w:lang w:val="fr-FR"/>
        </w:rPr>
        <w:t>11</w:t>
      </w:r>
      <w:r w:rsidRPr="0032637E">
        <w:rPr>
          <w:rFonts w:ascii="Times New Roman" w:eastAsia="Times New Roman" w:hAnsi="Times New Roman" w:cs="Times New Roman"/>
          <w:lang w:val="fr-FR"/>
        </w:rPr>
        <w:t xml:space="preserve"> Mars 2016, au bureau d’Oxfam, sis a Pèlerin 2A, #3</w:t>
      </w:r>
      <w:r w:rsidRPr="007E3F94">
        <w:rPr>
          <w:rFonts w:ascii="Times New Roman" w:eastAsia="Times New Roman" w:hAnsi="Times New Roman" w:cs="Times New Roman"/>
          <w:lang w:val="fr-FR"/>
        </w:rPr>
        <w:t xml:space="preserve"> (Sous plis-cacheté)</w:t>
      </w:r>
      <w:r w:rsidRPr="0032637E">
        <w:rPr>
          <w:rFonts w:ascii="Times New Roman" w:eastAsia="Times New Roman" w:hAnsi="Times New Roman" w:cs="Times New Roman"/>
          <w:lang w:val="fr-FR"/>
        </w:rPr>
        <w:t> ;</w:t>
      </w:r>
    </w:p>
    <w:p w:rsidR="0032637E" w:rsidRPr="0032637E" w:rsidRDefault="0032637E" w:rsidP="007E3F94">
      <w:pPr>
        <w:numPr>
          <w:ilvl w:val="0"/>
          <w:numId w:val="9"/>
        </w:numPr>
        <w:spacing w:after="0"/>
        <w:jc w:val="both"/>
        <w:rPr>
          <w:rFonts w:ascii="Times New Roman" w:eastAsia="Times New Roman" w:hAnsi="Times New Roman" w:cs="Times New Roman"/>
          <w:lang w:val="fr-FR"/>
        </w:rPr>
      </w:pPr>
      <w:r w:rsidRPr="0032637E">
        <w:rPr>
          <w:rFonts w:ascii="Times New Roman" w:eastAsia="Times New Roman" w:hAnsi="Times New Roman" w:cs="Times New Roman"/>
          <w:lang w:val="fr-FR"/>
        </w:rPr>
        <w:t>Ouverture des Plis et Sélection</w:t>
      </w:r>
      <w:r w:rsidRPr="007E3F94">
        <w:rPr>
          <w:rFonts w:ascii="Times New Roman" w:eastAsia="Times New Roman" w:hAnsi="Times New Roman" w:cs="Times New Roman"/>
          <w:lang w:val="fr-FR"/>
        </w:rPr>
        <w:t xml:space="preserve"> des dossiers : Mardi 15 </w:t>
      </w:r>
      <w:r w:rsidRPr="0032637E">
        <w:rPr>
          <w:rFonts w:ascii="Times New Roman" w:eastAsia="Times New Roman" w:hAnsi="Times New Roman" w:cs="Times New Roman"/>
          <w:lang w:val="fr-FR"/>
        </w:rPr>
        <w:t>Mars 2016 ;</w:t>
      </w:r>
    </w:p>
    <w:p w:rsidR="0032637E" w:rsidRPr="0032637E" w:rsidRDefault="0032637E" w:rsidP="007E3F94">
      <w:pPr>
        <w:numPr>
          <w:ilvl w:val="0"/>
          <w:numId w:val="9"/>
        </w:numPr>
        <w:spacing w:after="0"/>
        <w:jc w:val="both"/>
        <w:rPr>
          <w:rFonts w:ascii="Times New Roman" w:eastAsia="Times New Roman" w:hAnsi="Times New Roman" w:cs="Times New Roman"/>
          <w:lang w:val="fr-FR"/>
        </w:rPr>
      </w:pPr>
      <w:r w:rsidRPr="0032637E">
        <w:rPr>
          <w:rFonts w:ascii="Times New Roman" w:eastAsia="Times New Roman" w:hAnsi="Times New Roman" w:cs="Times New Roman"/>
          <w:lang w:val="fr-FR"/>
        </w:rPr>
        <w:t>Entrevue avec les postulants sélectionnés : Vendredi 1</w:t>
      </w:r>
      <w:r w:rsidRPr="007E3F94">
        <w:rPr>
          <w:rFonts w:ascii="Times New Roman" w:eastAsia="Times New Roman" w:hAnsi="Times New Roman" w:cs="Times New Roman"/>
          <w:lang w:val="fr-FR"/>
        </w:rPr>
        <w:t>8</w:t>
      </w:r>
      <w:r w:rsidRPr="0032637E">
        <w:rPr>
          <w:rFonts w:ascii="Times New Roman" w:eastAsia="Times New Roman" w:hAnsi="Times New Roman" w:cs="Times New Roman"/>
          <w:lang w:val="fr-FR"/>
        </w:rPr>
        <w:t xml:space="preserve"> Mars 2016 ;</w:t>
      </w:r>
    </w:p>
    <w:p w:rsidR="0032637E" w:rsidRPr="0032637E" w:rsidRDefault="0032637E" w:rsidP="007E3F94">
      <w:pPr>
        <w:numPr>
          <w:ilvl w:val="0"/>
          <w:numId w:val="9"/>
        </w:numPr>
        <w:spacing w:after="0"/>
        <w:jc w:val="both"/>
        <w:rPr>
          <w:rFonts w:ascii="Times New Roman" w:eastAsia="Times New Roman" w:hAnsi="Times New Roman" w:cs="Times New Roman"/>
          <w:lang w:val="fr-FR"/>
        </w:rPr>
      </w:pPr>
      <w:r w:rsidRPr="007E3F94">
        <w:rPr>
          <w:rFonts w:ascii="Times New Roman" w:eastAsia="Times New Roman" w:hAnsi="Times New Roman" w:cs="Times New Roman"/>
          <w:lang w:val="fr-FR"/>
        </w:rPr>
        <w:t xml:space="preserve">Signature des contrats : Mardi 22 </w:t>
      </w:r>
      <w:r w:rsidRPr="0032637E">
        <w:rPr>
          <w:rFonts w:ascii="Times New Roman" w:eastAsia="Times New Roman" w:hAnsi="Times New Roman" w:cs="Times New Roman"/>
          <w:lang w:val="fr-FR"/>
        </w:rPr>
        <w:t>Mars 2016 ;</w:t>
      </w:r>
    </w:p>
    <w:p w:rsidR="0032637E" w:rsidRDefault="0032637E" w:rsidP="007E3F94">
      <w:pPr>
        <w:numPr>
          <w:ilvl w:val="0"/>
          <w:numId w:val="9"/>
        </w:numPr>
        <w:spacing w:after="0"/>
        <w:jc w:val="both"/>
        <w:rPr>
          <w:rFonts w:ascii="Times New Roman" w:eastAsia="Times New Roman" w:hAnsi="Times New Roman" w:cs="Times New Roman"/>
          <w:lang w:val="fr-FR"/>
        </w:rPr>
      </w:pPr>
      <w:r w:rsidRPr="0032637E">
        <w:rPr>
          <w:rFonts w:ascii="Times New Roman" w:eastAsia="Times New Roman" w:hAnsi="Times New Roman" w:cs="Times New Roman"/>
          <w:lang w:val="fr-FR"/>
        </w:rPr>
        <w:t xml:space="preserve">La durée de réalisation de la consultation est prévue sur une période ne dépassant pas </w:t>
      </w:r>
      <w:r w:rsidRPr="007E3F94">
        <w:rPr>
          <w:rFonts w:ascii="Times New Roman" w:eastAsia="Times New Roman" w:hAnsi="Times New Roman" w:cs="Times New Roman"/>
          <w:lang w:val="fr-FR"/>
        </w:rPr>
        <w:t>15</w:t>
      </w:r>
      <w:r w:rsidRPr="0032637E">
        <w:rPr>
          <w:rFonts w:ascii="Times New Roman" w:eastAsia="Times New Roman" w:hAnsi="Times New Roman" w:cs="Times New Roman"/>
          <w:lang w:val="fr-FR"/>
        </w:rPr>
        <w:t xml:space="preserve"> jours </w:t>
      </w:r>
      <w:r w:rsidRPr="007E3F94">
        <w:rPr>
          <w:rFonts w:ascii="Times New Roman" w:eastAsia="Times New Roman" w:hAnsi="Times New Roman" w:cs="Times New Roman"/>
          <w:lang w:val="fr-FR"/>
        </w:rPr>
        <w:t>ouvrables</w:t>
      </w:r>
      <w:r w:rsidRPr="0032637E">
        <w:rPr>
          <w:rFonts w:ascii="Times New Roman" w:eastAsia="Times New Roman" w:hAnsi="Times New Roman" w:cs="Times New Roman"/>
          <w:lang w:val="fr-FR"/>
        </w:rPr>
        <w:t xml:space="preserve">. </w:t>
      </w:r>
    </w:p>
    <w:p w:rsidR="007E3F94" w:rsidRDefault="007E3F94" w:rsidP="007E3F94">
      <w:pPr>
        <w:spacing w:after="0"/>
        <w:jc w:val="both"/>
        <w:rPr>
          <w:rFonts w:ascii="Times New Roman" w:eastAsia="Times New Roman" w:hAnsi="Times New Roman" w:cs="Times New Roman"/>
          <w:lang w:val="fr-FR"/>
        </w:rPr>
      </w:pPr>
    </w:p>
    <w:p w:rsidR="007E3F94" w:rsidRDefault="007E3F94" w:rsidP="007E3F94">
      <w:pPr>
        <w:spacing w:after="0"/>
        <w:jc w:val="both"/>
        <w:rPr>
          <w:rFonts w:ascii="Times New Roman" w:eastAsia="Times New Roman" w:hAnsi="Times New Roman" w:cs="Times New Roman"/>
          <w:lang w:val="fr-FR"/>
        </w:rPr>
      </w:pPr>
    </w:p>
    <w:p w:rsidR="007E3F94" w:rsidRDefault="007E3F94" w:rsidP="007E3F94">
      <w:pPr>
        <w:spacing w:after="0"/>
        <w:jc w:val="both"/>
        <w:rPr>
          <w:rFonts w:ascii="Times New Roman" w:eastAsia="Times New Roman" w:hAnsi="Times New Roman" w:cs="Times New Roman"/>
          <w:lang w:val="fr-FR"/>
        </w:rPr>
      </w:pPr>
    </w:p>
    <w:p w:rsidR="007E3F94" w:rsidRDefault="007E3F94" w:rsidP="007E3F94">
      <w:pPr>
        <w:spacing w:after="0"/>
        <w:jc w:val="both"/>
        <w:rPr>
          <w:rFonts w:ascii="Times New Roman" w:eastAsia="Times New Roman" w:hAnsi="Times New Roman" w:cs="Times New Roman"/>
          <w:lang w:val="fr-FR"/>
        </w:rPr>
      </w:pPr>
    </w:p>
    <w:p w:rsidR="007E3F94" w:rsidRDefault="007E3F94" w:rsidP="007E3F94">
      <w:pPr>
        <w:spacing w:after="0"/>
        <w:jc w:val="both"/>
        <w:rPr>
          <w:rFonts w:ascii="Times New Roman" w:eastAsia="Times New Roman" w:hAnsi="Times New Roman" w:cs="Times New Roman"/>
          <w:lang w:val="fr-FR"/>
        </w:rPr>
      </w:pPr>
    </w:p>
    <w:p w:rsidR="007E3F94" w:rsidRPr="007E3F94" w:rsidRDefault="007E3F94" w:rsidP="007E3F94">
      <w:pPr>
        <w:spacing w:after="0"/>
        <w:jc w:val="both"/>
        <w:rPr>
          <w:rFonts w:ascii="Times New Roman" w:eastAsia="Times New Roman" w:hAnsi="Times New Roman" w:cs="Times New Roman"/>
          <w:lang w:val="fr-FR"/>
        </w:rPr>
      </w:pPr>
    </w:p>
    <w:p w:rsidR="0032637E" w:rsidRPr="007E3F94" w:rsidRDefault="0032637E" w:rsidP="007E3F94">
      <w:pPr>
        <w:pStyle w:val="ListParagraph"/>
        <w:numPr>
          <w:ilvl w:val="0"/>
          <w:numId w:val="5"/>
        </w:numPr>
        <w:tabs>
          <w:tab w:val="left" w:pos="2175"/>
        </w:tabs>
        <w:spacing w:line="276" w:lineRule="auto"/>
        <w:jc w:val="both"/>
        <w:rPr>
          <w:b/>
          <w:sz w:val="22"/>
          <w:szCs w:val="22"/>
          <w:lang w:eastAsia="fr-FR"/>
        </w:rPr>
      </w:pPr>
      <w:r w:rsidRPr="007E3F94">
        <w:rPr>
          <w:b/>
          <w:sz w:val="22"/>
          <w:szCs w:val="22"/>
          <w:lang w:eastAsia="fr-FR"/>
        </w:rPr>
        <w:t>Contenus de l’offre :</w:t>
      </w:r>
    </w:p>
    <w:p w:rsidR="0032637E" w:rsidRPr="0032637E" w:rsidRDefault="0032637E" w:rsidP="007E3F94">
      <w:pPr>
        <w:tabs>
          <w:tab w:val="left" w:pos="2175"/>
        </w:tabs>
        <w:spacing w:after="0"/>
        <w:jc w:val="both"/>
        <w:rPr>
          <w:rFonts w:ascii="Times New Roman" w:eastAsia="Times New Roman" w:hAnsi="Times New Roman" w:cs="Times New Roman"/>
          <w:lang w:val="fr-HT" w:eastAsia="fr-FR"/>
        </w:rPr>
      </w:pPr>
      <w:r w:rsidRPr="0032637E">
        <w:rPr>
          <w:rFonts w:ascii="Times New Roman" w:eastAsia="Times New Roman" w:hAnsi="Times New Roman" w:cs="Times New Roman"/>
          <w:lang w:val="fr-HT" w:eastAsia="fr-FR"/>
        </w:rPr>
        <w:lastRenderedPageBreak/>
        <w:t xml:space="preserve">Les offres de consultants intéressés par la présente mission devront comporter : </w:t>
      </w:r>
    </w:p>
    <w:p w:rsidR="0032637E" w:rsidRPr="007E3F94" w:rsidRDefault="0032637E" w:rsidP="007E3F94">
      <w:pPr>
        <w:numPr>
          <w:ilvl w:val="0"/>
          <w:numId w:val="7"/>
        </w:numPr>
        <w:tabs>
          <w:tab w:val="left" w:pos="2175"/>
        </w:tabs>
        <w:spacing w:after="0"/>
        <w:contextualSpacing/>
        <w:jc w:val="both"/>
        <w:rPr>
          <w:rFonts w:ascii="Times New Roman" w:eastAsia="Times New Roman" w:hAnsi="Times New Roman" w:cs="Times New Roman"/>
          <w:lang w:val="fr-HT" w:eastAsia="fr-FR"/>
        </w:rPr>
      </w:pPr>
      <w:r w:rsidRPr="007E3F94">
        <w:rPr>
          <w:rFonts w:ascii="Times New Roman" w:eastAsia="Times New Roman" w:hAnsi="Times New Roman" w:cs="Times New Roman"/>
          <w:lang w:val="fr-HT" w:eastAsia="fr-FR"/>
        </w:rPr>
        <w:t>Lettre de motivation ou de couverture</w:t>
      </w:r>
    </w:p>
    <w:p w:rsidR="0032637E" w:rsidRPr="0032637E" w:rsidRDefault="0032637E" w:rsidP="007E3F94">
      <w:pPr>
        <w:numPr>
          <w:ilvl w:val="0"/>
          <w:numId w:val="7"/>
        </w:numPr>
        <w:tabs>
          <w:tab w:val="left" w:pos="2175"/>
        </w:tabs>
        <w:spacing w:after="0"/>
        <w:contextualSpacing/>
        <w:jc w:val="both"/>
        <w:rPr>
          <w:rFonts w:ascii="Times New Roman" w:eastAsia="Times New Roman" w:hAnsi="Times New Roman" w:cs="Times New Roman"/>
          <w:lang w:val="fr-HT" w:eastAsia="fr-FR"/>
        </w:rPr>
      </w:pPr>
      <w:r w:rsidRPr="0032637E">
        <w:rPr>
          <w:rFonts w:ascii="Times New Roman" w:eastAsia="Times New Roman" w:hAnsi="Times New Roman" w:cs="Times New Roman"/>
          <w:lang w:val="fr-HT" w:eastAsia="fr-FR"/>
        </w:rPr>
        <w:t>Une proposition technique présentant : la méthodologie du trav</w:t>
      </w:r>
      <w:r w:rsidRPr="007E3F94">
        <w:rPr>
          <w:rFonts w:ascii="Times New Roman" w:eastAsia="Times New Roman" w:hAnsi="Times New Roman" w:cs="Times New Roman"/>
          <w:lang w:val="fr-HT" w:eastAsia="fr-FR"/>
        </w:rPr>
        <w:t>ail et d’animation des séances ;</w:t>
      </w:r>
    </w:p>
    <w:p w:rsidR="0032637E" w:rsidRPr="0032637E" w:rsidRDefault="0032637E" w:rsidP="007E3F94">
      <w:pPr>
        <w:numPr>
          <w:ilvl w:val="0"/>
          <w:numId w:val="7"/>
        </w:numPr>
        <w:tabs>
          <w:tab w:val="left" w:pos="2175"/>
        </w:tabs>
        <w:spacing w:after="0"/>
        <w:contextualSpacing/>
        <w:jc w:val="both"/>
        <w:rPr>
          <w:rFonts w:ascii="Times New Roman" w:eastAsia="Times New Roman" w:hAnsi="Times New Roman" w:cs="Times New Roman"/>
          <w:lang w:val="fr-HT" w:eastAsia="fr-FR"/>
        </w:rPr>
      </w:pPr>
      <w:r w:rsidRPr="0032637E">
        <w:rPr>
          <w:rFonts w:ascii="Times New Roman" w:eastAsia="Times New Roman" w:hAnsi="Times New Roman" w:cs="Times New Roman"/>
          <w:lang w:val="fr-HT" w:eastAsia="fr-FR"/>
        </w:rPr>
        <w:t>Les dossiers de la firme et CVs détaillés du ou des consultants</w:t>
      </w:r>
      <w:r w:rsidR="007E3F94">
        <w:rPr>
          <w:rFonts w:ascii="Times New Roman" w:eastAsia="Times New Roman" w:hAnsi="Times New Roman" w:cs="Times New Roman"/>
          <w:lang w:val="fr-HT" w:eastAsia="fr-FR"/>
        </w:rPr>
        <w:t> ;</w:t>
      </w:r>
      <w:r w:rsidRPr="0032637E">
        <w:rPr>
          <w:rFonts w:ascii="Times New Roman" w:eastAsia="Times New Roman" w:hAnsi="Times New Roman" w:cs="Times New Roman"/>
          <w:lang w:val="fr-HT" w:eastAsia="fr-FR"/>
        </w:rPr>
        <w:t xml:space="preserve"> </w:t>
      </w:r>
    </w:p>
    <w:p w:rsidR="0032637E" w:rsidRPr="0032637E" w:rsidRDefault="0032637E" w:rsidP="007E3F94">
      <w:pPr>
        <w:numPr>
          <w:ilvl w:val="0"/>
          <w:numId w:val="7"/>
        </w:numPr>
        <w:tabs>
          <w:tab w:val="left" w:pos="2175"/>
        </w:tabs>
        <w:spacing w:after="0"/>
        <w:contextualSpacing/>
        <w:jc w:val="both"/>
        <w:rPr>
          <w:rFonts w:ascii="Times New Roman" w:eastAsia="Times New Roman" w:hAnsi="Times New Roman" w:cs="Times New Roman"/>
          <w:lang w:val="fr-HT" w:eastAsia="fr-FR"/>
        </w:rPr>
      </w:pPr>
      <w:r w:rsidRPr="0032637E">
        <w:rPr>
          <w:rFonts w:ascii="Times New Roman" w:eastAsia="Times New Roman" w:hAnsi="Times New Roman" w:cs="Times New Roman"/>
          <w:lang w:val="fr-HT" w:eastAsia="fr-FR"/>
        </w:rPr>
        <w:t>Une offre financière détaillée, en gourde haïtienne.</w:t>
      </w:r>
    </w:p>
    <w:p w:rsidR="0032637E" w:rsidRPr="0032637E" w:rsidRDefault="0032637E" w:rsidP="007E3F94">
      <w:pPr>
        <w:overflowPunct w:val="0"/>
        <w:autoSpaceDE w:val="0"/>
        <w:autoSpaceDN w:val="0"/>
        <w:adjustRightInd w:val="0"/>
        <w:spacing w:after="0"/>
        <w:ind w:firstLine="360"/>
        <w:jc w:val="both"/>
        <w:textAlignment w:val="baseline"/>
        <w:rPr>
          <w:rFonts w:ascii="Times New Roman" w:eastAsia="Calibri" w:hAnsi="Times New Roman" w:cs="Times New Roman"/>
          <w:bCs/>
          <w:lang w:val="fr-HT"/>
        </w:rPr>
      </w:pPr>
    </w:p>
    <w:p w:rsidR="0032637E" w:rsidRPr="0032637E" w:rsidRDefault="0032637E" w:rsidP="007E3F94">
      <w:pPr>
        <w:pBdr>
          <w:top w:val="single" w:sz="4" w:space="1" w:color="auto"/>
          <w:left w:val="single" w:sz="4" w:space="4" w:color="auto"/>
          <w:bottom w:val="single" w:sz="4" w:space="1" w:color="auto"/>
          <w:right w:val="single" w:sz="4" w:space="4" w:color="auto"/>
        </w:pBdr>
        <w:shd w:val="clear" w:color="auto" w:fill="EAF1DD"/>
        <w:jc w:val="both"/>
        <w:rPr>
          <w:rFonts w:ascii="Times New Roman" w:eastAsia="Calibri" w:hAnsi="Times New Roman" w:cs="Times New Roman"/>
          <w:b/>
          <w:i/>
          <w:lang w:val="fr-HT"/>
        </w:rPr>
      </w:pPr>
      <w:r w:rsidRPr="0032637E">
        <w:rPr>
          <w:rFonts w:ascii="Times New Roman" w:eastAsia="Calibri" w:hAnsi="Times New Roman" w:cs="Times New Roman"/>
          <w:b/>
          <w:i/>
          <w:lang w:val="fr-HT"/>
        </w:rPr>
        <w:t>NB : l’ensemble des services contractés seront sujets à une taxation de 2% pour les consultants indépendants ou entreprises reconnus en Haïti et 20% pour les consultants ou entreprises internationaux non reconnus en Haïti. Oxfam devra déduire le pourcentage correspondant des frais facturés pour réaliser le paiement en accord avec la loi haïtienne.</w:t>
      </w:r>
    </w:p>
    <w:p w:rsidR="0032637E" w:rsidRPr="007E3F94" w:rsidRDefault="0032637E" w:rsidP="007E3F94">
      <w:pPr>
        <w:spacing w:after="0"/>
        <w:jc w:val="both"/>
        <w:rPr>
          <w:rFonts w:ascii="Times New Roman" w:eastAsia="Calibri" w:hAnsi="Times New Roman" w:cs="Times New Roman"/>
          <w:b/>
          <w:u w:val="single"/>
          <w:lang w:val="fr-HT"/>
        </w:rPr>
      </w:pPr>
      <w:r w:rsidRPr="0032637E">
        <w:rPr>
          <w:rFonts w:ascii="Times New Roman" w:eastAsia="Calibri" w:hAnsi="Times New Roman" w:cs="Times New Roman"/>
          <w:bCs/>
          <w:lang w:val="fr-HT"/>
        </w:rPr>
        <w:t xml:space="preserve"> </w:t>
      </w:r>
    </w:p>
    <w:p w:rsidR="0032637E" w:rsidRPr="0032637E" w:rsidRDefault="0032637E" w:rsidP="007E3F94">
      <w:pPr>
        <w:spacing w:after="0"/>
        <w:jc w:val="both"/>
        <w:rPr>
          <w:rFonts w:ascii="Times New Roman" w:eastAsia="Calibri" w:hAnsi="Times New Roman" w:cs="Times New Roman"/>
          <w:b/>
          <w:u w:val="single"/>
          <w:lang w:val="fr-HT"/>
        </w:rPr>
      </w:pPr>
    </w:p>
    <w:p w:rsidR="0032637E" w:rsidRPr="0032637E" w:rsidRDefault="0032637E" w:rsidP="007E3F94">
      <w:pPr>
        <w:spacing w:after="0"/>
        <w:jc w:val="both"/>
        <w:rPr>
          <w:rFonts w:ascii="Times New Roman" w:eastAsia="Calibri" w:hAnsi="Times New Roman" w:cs="Times New Roman"/>
          <w:b/>
          <w:u w:val="single"/>
          <w:lang w:val="fr-HT"/>
        </w:rPr>
      </w:pPr>
      <w:r w:rsidRPr="0032637E">
        <w:rPr>
          <w:rFonts w:ascii="Times New Roman" w:eastAsia="Calibri" w:hAnsi="Times New Roman" w:cs="Times New Roman"/>
          <w:b/>
          <w:u w:val="single"/>
          <w:lang w:val="fr-HT"/>
        </w:rPr>
        <w:t>Critères de sélection des offres :</w:t>
      </w:r>
    </w:p>
    <w:p w:rsidR="0032637E" w:rsidRPr="0032637E" w:rsidRDefault="0032637E" w:rsidP="007E3F94">
      <w:pPr>
        <w:spacing w:after="0"/>
        <w:jc w:val="both"/>
        <w:rPr>
          <w:rFonts w:ascii="Times New Roman" w:eastAsia="Calibri" w:hAnsi="Times New Roman" w:cs="Times New Roman"/>
          <w:u w:val="single"/>
          <w:lang w:val="fr-HT"/>
        </w:rPr>
      </w:pPr>
    </w:p>
    <w:p w:rsidR="0032637E" w:rsidRPr="0032637E" w:rsidRDefault="0032637E" w:rsidP="007E3F94">
      <w:pPr>
        <w:numPr>
          <w:ilvl w:val="0"/>
          <w:numId w:val="8"/>
        </w:numPr>
        <w:contextualSpacing/>
        <w:jc w:val="both"/>
        <w:rPr>
          <w:rFonts w:ascii="Times New Roman" w:eastAsia="Times New Roman" w:hAnsi="Times New Roman" w:cs="Times New Roman"/>
          <w:bCs/>
          <w:iCs/>
          <w:lang w:val="fr-HT"/>
        </w:rPr>
      </w:pPr>
      <w:r w:rsidRPr="0032637E">
        <w:rPr>
          <w:rFonts w:ascii="Times New Roman" w:eastAsia="Times New Roman" w:hAnsi="Times New Roman" w:cs="Times New Roman"/>
          <w:bCs/>
          <w:iCs/>
          <w:lang w:val="fr-HT"/>
        </w:rPr>
        <w:t>Compréhension de TDR</w:t>
      </w:r>
    </w:p>
    <w:p w:rsidR="0032637E" w:rsidRPr="0032637E" w:rsidRDefault="0032637E" w:rsidP="007E3F94">
      <w:pPr>
        <w:numPr>
          <w:ilvl w:val="0"/>
          <w:numId w:val="8"/>
        </w:numPr>
        <w:contextualSpacing/>
        <w:jc w:val="both"/>
        <w:rPr>
          <w:rFonts w:ascii="Times New Roman" w:eastAsia="Times New Roman" w:hAnsi="Times New Roman" w:cs="Times New Roman"/>
          <w:bCs/>
          <w:iCs/>
          <w:lang w:val="fr-HT"/>
        </w:rPr>
      </w:pPr>
      <w:r w:rsidRPr="0032637E">
        <w:rPr>
          <w:rFonts w:ascii="Times New Roman" w:eastAsia="Times New Roman" w:hAnsi="Times New Roman" w:cs="Times New Roman"/>
          <w:bCs/>
          <w:iCs/>
          <w:lang w:val="fr-HT"/>
        </w:rPr>
        <w:t>Clarté de la méthodologie proposée</w:t>
      </w:r>
    </w:p>
    <w:p w:rsidR="0032637E" w:rsidRPr="0032637E" w:rsidRDefault="0032637E" w:rsidP="007E3F94">
      <w:pPr>
        <w:numPr>
          <w:ilvl w:val="0"/>
          <w:numId w:val="8"/>
        </w:numPr>
        <w:contextualSpacing/>
        <w:jc w:val="both"/>
        <w:rPr>
          <w:rFonts w:ascii="Times New Roman" w:eastAsia="Times New Roman" w:hAnsi="Times New Roman" w:cs="Times New Roman"/>
          <w:bCs/>
          <w:iCs/>
          <w:lang w:val="fr-HT"/>
        </w:rPr>
      </w:pPr>
      <w:r w:rsidRPr="0032637E">
        <w:rPr>
          <w:rFonts w:ascii="Times New Roman" w:eastAsia="Times New Roman" w:hAnsi="Times New Roman" w:cs="Times New Roman"/>
          <w:bCs/>
          <w:iCs/>
          <w:lang w:val="fr-HT"/>
        </w:rPr>
        <w:t>Equipe – compétences du personnel proposé</w:t>
      </w:r>
    </w:p>
    <w:p w:rsidR="0032637E" w:rsidRPr="0032637E" w:rsidRDefault="0032637E" w:rsidP="007E3F94">
      <w:pPr>
        <w:numPr>
          <w:ilvl w:val="0"/>
          <w:numId w:val="8"/>
        </w:numPr>
        <w:contextualSpacing/>
        <w:jc w:val="both"/>
        <w:rPr>
          <w:rFonts w:ascii="Times New Roman" w:eastAsia="Times New Roman" w:hAnsi="Times New Roman" w:cs="Times New Roman"/>
          <w:bCs/>
          <w:iCs/>
          <w:lang w:val="fr-HT"/>
        </w:rPr>
      </w:pPr>
      <w:r w:rsidRPr="0032637E">
        <w:rPr>
          <w:rFonts w:ascii="Times New Roman" w:eastAsia="Times New Roman" w:hAnsi="Times New Roman" w:cs="Times New Roman"/>
          <w:bCs/>
          <w:iCs/>
          <w:lang w:val="fr-HT"/>
        </w:rPr>
        <w:t>Calendrier proposé (min et max de jours ouvrables)</w:t>
      </w:r>
    </w:p>
    <w:p w:rsidR="00A776FD" w:rsidRPr="007E3F94" w:rsidRDefault="0032637E" w:rsidP="007E3F94">
      <w:pPr>
        <w:numPr>
          <w:ilvl w:val="0"/>
          <w:numId w:val="8"/>
        </w:numPr>
        <w:contextualSpacing/>
        <w:jc w:val="both"/>
        <w:rPr>
          <w:rFonts w:ascii="Times New Roman" w:hAnsi="Times New Roman" w:cs="Times New Roman"/>
          <w:lang w:val="fr-HT"/>
        </w:rPr>
      </w:pPr>
      <w:r w:rsidRPr="0032637E">
        <w:rPr>
          <w:rFonts w:ascii="Times New Roman" w:eastAsia="Times New Roman" w:hAnsi="Times New Roman" w:cs="Times New Roman"/>
          <w:bCs/>
          <w:iCs/>
          <w:lang w:val="fr-HT"/>
        </w:rPr>
        <w:t>Offre tarifaire</w:t>
      </w:r>
    </w:p>
    <w:sectPr w:rsidR="00A776FD" w:rsidRPr="007E3F94" w:rsidSect="00A776F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034" w:rsidRDefault="00816034" w:rsidP="0032637E">
      <w:pPr>
        <w:spacing w:after="0" w:line="240" w:lineRule="auto"/>
      </w:pPr>
      <w:r>
        <w:separator/>
      </w:r>
    </w:p>
  </w:endnote>
  <w:endnote w:type="continuationSeparator" w:id="0">
    <w:p w:rsidR="00816034" w:rsidRDefault="00816034" w:rsidP="00326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609843"/>
      <w:docPartObj>
        <w:docPartGallery w:val="Page Numbers (Bottom of Page)"/>
        <w:docPartUnique/>
      </w:docPartObj>
    </w:sdtPr>
    <w:sdtEndPr>
      <w:rPr>
        <w:color w:val="808080" w:themeColor="background1" w:themeShade="80"/>
        <w:spacing w:val="60"/>
      </w:rPr>
    </w:sdtEndPr>
    <w:sdtContent>
      <w:p w:rsidR="0032637E" w:rsidRDefault="0032637E">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E52CF2" w:rsidRPr="00E52CF2">
          <w:rPr>
            <w:b/>
            <w:bCs/>
            <w:noProof/>
          </w:rPr>
          <w:t>4</w:t>
        </w:r>
        <w:r>
          <w:rPr>
            <w:b/>
            <w:bCs/>
            <w:noProof/>
          </w:rPr>
          <w:fldChar w:fldCharType="end"/>
        </w:r>
        <w:r>
          <w:rPr>
            <w:b/>
            <w:bCs/>
          </w:rPr>
          <w:t xml:space="preserve"> | </w:t>
        </w:r>
        <w:r w:rsidRPr="0032637E">
          <w:rPr>
            <w:color w:val="808080" w:themeColor="background1" w:themeShade="80"/>
            <w:spacing w:val="60"/>
          </w:rPr>
          <w:t>Page</w:t>
        </w:r>
      </w:p>
    </w:sdtContent>
  </w:sdt>
  <w:p w:rsidR="0032637E" w:rsidRDefault="003263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034" w:rsidRDefault="00816034" w:rsidP="0032637E">
      <w:pPr>
        <w:spacing w:after="0" w:line="240" w:lineRule="auto"/>
      </w:pPr>
      <w:r>
        <w:separator/>
      </w:r>
    </w:p>
  </w:footnote>
  <w:footnote w:type="continuationSeparator" w:id="0">
    <w:p w:rsidR="00816034" w:rsidRDefault="00816034" w:rsidP="003263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3C1B"/>
    <w:multiLevelType w:val="hybridMultilevel"/>
    <w:tmpl w:val="43EAD4A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A3416D7"/>
    <w:multiLevelType w:val="hybridMultilevel"/>
    <w:tmpl w:val="FAA05C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5334752"/>
    <w:multiLevelType w:val="hybridMultilevel"/>
    <w:tmpl w:val="C232ACF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2AED016A"/>
    <w:multiLevelType w:val="hybridMultilevel"/>
    <w:tmpl w:val="88F6C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7B4AED"/>
    <w:multiLevelType w:val="hybridMultilevel"/>
    <w:tmpl w:val="76946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1B3C31"/>
    <w:multiLevelType w:val="hybridMultilevel"/>
    <w:tmpl w:val="C3B0B824"/>
    <w:lvl w:ilvl="0" w:tplc="8B5CC798">
      <w:numFmt w:val="bullet"/>
      <w:lvlText w:val="-"/>
      <w:lvlJc w:val="left"/>
      <w:pPr>
        <w:tabs>
          <w:tab w:val="num" w:pos="1800"/>
        </w:tabs>
        <w:ind w:left="1800" w:hanging="360"/>
      </w:pPr>
      <w:rPr>
        <w:rFonts w:ascii="Microsoft Sans Serif" w:eastAsia="Microsoft Sans Serif" w:hAnsi="Microsoft Sans Serif" w:cs="Microsoft Sans Serif" w:hint="default"/>
      </w:rPr>
    </w:lvl>
    <w:lvl w:ilvl="1" w:tplc="04090005">
      <w:start w:val="1"/>
      <w:numFmt w:val="bullet"/>
      <w:lvlText w:val=""/>
      <w:lvlJc w:val="left"/>
      <w:pPr>
        <w:tabs>
          <w:tab w:val="num" w:pos="2520"/>
        </w:tabs>
        <w:ind w:left="2520" w:hanging="360"/>
      </w:pPr>
      <w:rPr>
        <w:rFonts w:ascii="Wingdings" w:hAnsi="Wingdings" w:hint="default"/>
      </w:r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6">
    <w:nsid w:val="46B41EC8"/>
    <w:multiLevelType w:val="hybridMultilevel"/>
    <w:tmpl w:val="38AC6E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4933770A"/>
    <w:multiLevelType w:val="hybridMultilevel"/>
    <w:tmpl w:val="8B8A9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D23B02"/>
    <w:multiLevelType w:val="hybridMultilevel"/>
    <w:tmpl w:val="D6C284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B0809A1"/>
    <w:multiLevelType w:val="hybridMultilevel"/>
    <w:tmpl w:val="1CA899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C1E3057"/>
    <w:multiLevelType w:val="hybridMultilevel"/>
    <w:tmpl w:val="F0766B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0A252B7"/>
    <w:multiLevelType w:val="hybridMultilevel"/>
    <w:tmpl w:val="103C4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470763"/>
    <w:multiLevelType w:val="hybridMultilevel"/>
    <w:tmpl w:val="2A94EB7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nsid w:val="78994F04"/>
    <w:multiLevelType w:val="hybridMultilevel"/>
    <w:tmpl w:val="28F23B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79935771"/>
    <w:multiLevelType w:val="hybridMultilevel"/>
    <w:tmpl w:val="C39A9C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9"/>
  </w:num>
  <w:num w:numId="3">
    <w:abstractNumId w:val="11"/>
  </w:num>
  <w:num w:numId="4">
    <w:abstractNumId w:val="14"/>
  </w:num>
  <w:num w:numId="5">
    <w:abstractNumId w:val="3"/>
  </w:num>
  <w:num w:numId="6">
    <w:abstractNumId w:val="7"/>
  </w:num>
  <w:num w:numId="7">
    <w:abstractNumId w:val="10"/>
  </w:num>
  <w:num w:numId="8">
    <w:abstractNumId w:val="0"/>
  </w:num>
  <w:num w:numId="9">
    <w:abstractNumId w:val="5"/>
  </w:num>
  <w:num w:numId="10">
    <w:abstractNumId w:val="13"/>
  </w:num>
  <w:num w:numId="11">
    <w:abstractNumId w:val="6"/>
  </w:num>
  <w:num w:numId="12">
    <w:abstractNumId w:val="4"/>
  </w:num>
  <w:num w:numId="13">
    <w:abstractNumId w:val="12"/>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767"/>
    <w:rsid w:val="00173898"/>
    <w:rsid w:val="00236D42"/>
    <w:rsid w:val="00261E9F"/>
    <w:rsid w:val="0032637E"/>
    <w:rsid w:val="00455551"/>
    <w:rsid w:val="0055719F"/>
    <w:rsid w:val="00575E2B"/>
    <w:rsid w:val="00584793"/>
    <w:rsid w:val="00645A4C"/>
    <w:rsid w:val="007E3F94"/>
    <w:rsid w:val="00816034"/>
    <w:rsid w:val="00930767"/>
    <w:rsid w:val="00940FA6"/>
    <w:rsid w:val="009D2FBD"/>
    <w:rsid w:val="00A776FD"/>
    <w:rsid w:val="00B74F0A"/>
    <w:rsid w:val="00E52CF2"/>
    <w:rsid w:val="00F26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0767"/>
    <w:pPr>
      <w:spacing w:after="0" w:line="240" w:lineRule="auto"/>
      <w:ind w:left="720"/>
      <w:contextualSpacing/>
    </w:pPr>
    <w:rPr>
      <w:rFonts w:ascii="Times New Roman" w:eastAsia="Times New Roman" w:hAnsi="Times New Roman" w:cs="Times New Roman"/>
      <w:sz w:val="24"/>
      <w:szCs w:val="24"/>
      <w:lang w:val="fr-FR"/>
    </w:rPr>
  </w:style>
  <w:style w:type="paragraph" w:styleId="BalloonText">
    <w:name w:val="Balloon Text"/>
    <w:basedOn w:val="Normal"/>
    <w:link w:val="BalloonTextChar"/>
    <w:uiPriority w:val="99"/>
    <w:semiHidden/>
    <w:unhideWhenUsed/>
    <w:rsid w:val="00261E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E9F"/>
    <w:rPr>
      <w:rFonts w:ascii="Tahoma" w:hAnsi="Tahoma" w:cs="Tahoma"/>
      <w:sz w:val="16"/>
      <w:szCs w:val="16"/>
    </w:rPr>
  </w:style>
  <w:style w:type="character" w:styleId="CommentReference">
    <w:name w:val="annotation reference"/>
    <w:basedOn w:val="DefaultParagraphFont"/>
    <w:uiPriority w:val="99"/>
    <w:semiHidden/>
    <w:unhideWhenUsed/>
    <w:rsid w:val="00261E9F"/>
    <w:rPr>
      <w:sz w:val="16"/>
      <w:szCs w:val="16"/>
    </w:rPr>
  </w:style>
  <w:style w:type="paragraph" w:styleId="CommentText">
    <w:name w:val="annotation text"/>
    <w:basedOn w:val="Normal"/>
    <w:link w:val="CommentTextChar"/>
    <w:uiPriority w:val="99"/>
    <w:semiHidden/>
    <w:unhideWhenUsed/>
    <w:rsid w:val="00261E9F"/>
    <w:pPr>
      <w:spacing w:line="240" w:lineRule="auto"/>
    </w:pPr>
    <w:rPr>
      <w:sz w:val="20"/>
      <w:szCs w:val="20"/>
    </w:rPr>
  </w:style>
  <w:style w:type="character" w:customStyle="1" w:styleId="CommentTextChar">
    <w:name w:val="Comment Text Char"/>
    <w:basedOn w:val="DefaultParagraphFont"/>
    <w:link w:val="CommentText"/>
    <w:uiPriority w:val="99"/>
    <w:semiHidden/>
    <w:rsid w:val="00261E9F"/>
    <w:rPr>
      <w:sz w:val="20"/>
      <w:szCs w:val="20"/>
    </w:rPr>
  </w:style>
  <w:style w:type="paragraph" w:styleId="CommentSubject">
    <w:name w:val="annotation subject"/>
    <w:basedOn w:val="CommentText"/>
    <w:next w:val="CommentText"/>
    <w:link w:val="CommentSubjectChar"/>
    <w:uiPriority w:val="99"/>
    <w:semiHidden/>
    <w:unhideWhenUsed/>
    <w:rsid w:val="00261E9F"/>
    <w:rPr>
      <w:b/>
      <w:bCs/>
    </w:rPr>
  </w:style>
  <w:style w:type="character" w:customStyle="1" w:styleId="CommentSubjectChar">
    <w:name w:val="Comment Subject Char"/>
    <w:basedOn w:val="CommentTextChar"/>
    <w:link w:val="CommentSubject"/>
    <w:uiPriority w:val="99"/>
    <w:semiHidden/>
    <w:rsid w:val="00261E9F"/>
    <w:rPr>
      <w:b/>
      <w:bCs/>
      <w:sz w:val="20"/>
      <w:szCs w:val="20"/>
    </w:rPr>
  </w:style>
  <w:style w:type="paragraph" w:styleId="Header">
    <w:name w:val="header"/>
    <w:basedOn w:val="Normal"/>
    <w:link w:val="HeaderChar"/>
    <w:uiPriority w:val="99"/>
    <w:unhideWhenUsed/>
    <w:rsid w:val="003263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37E"/>
  </w:style>
  <w:style w:type="paragraph" w:styleId="Footer">
    <w:name w:val="footer"/>
    <w:basedOn w:val="Normal"/>
    <w:link w:val="FooterChar"/>
    <w:uiPriority w:val="99"/>
    <w:unhideWhenUsed/>
    <w:rsid w:val="003263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3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0767"/>
    <w:pPr>
      <w:spacing w:after="0" w:line="240" w:lineRule="auto"/>
      <w:ind w:left="720"/>
      <w:contextualSpacing/>
    </w:pPr>
    <w:rPr>
      <w:rFonts w:ascii="Times New Roman" w:eastAsia="Times New Roman" w:hAnsi="Times New Roman" w:cs="Times New Roman"/>
      <w:sz w:val="24"/>
      <w:szCs w:val="24"/>
      <w:lang w:val="fr-FR"/>
    </w:rPr>
  </w:style>
  <w:style w:type="paragraph" w:styleId="BalloonText">
    <w:name w:val="Balloon Text"/>
    <w:basedOn w:val="Normal"/>
    <w:link w:val="BalloonTextChar"/>
    <w:uiPriority w:val="99"/>
    <w:semiHidden/>
    <w:unhideWhenUsed/>
    <w:rsid w:val="00261E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E9F"/>
    <w:rPr>
      <w:rFonts w:ascii="Tahoma" w:hAnsi="Tahoma" w:cs="Tahoma"/>
      <w:sz w:val="16"/>
      <w:szCs w:val="16"/>
    </w:rPr>
  </w:style>
  <w:style w:type="character" w:styleId="CommentReference">
    <w:name w:val="annotation reference"/>
    <w:basedOn w:val="DefaultParagraphFont"/>
    <w:uiPriority w:val="99"/>
    <w:semiHidden/>
    <w:unhideWhenUsed/>
    <w:rsid w:val="00261E9F"/>
    <w:rPr>
      <w:sz w:val="16"/>
      <w:szCs w:val="16"/>
    </w:rPr>
  </w:style>
  <w:style w:type="paragraph" w:styleId="CommentText">
    <w:name w:val="annotation text"/>
    <w:basedOn w:val="Normal"/>
    <w:link w:val="CommentTextChar"/>
    <w:uiPriority w:val="99"/>
    <w:semiHidden/>
    <w:unhideWhenUsed/>
    <w:rsid w:val="00261E9F"/>
    <w:pPr>
      <w:spacing w:line="240" w:lineRule="auto"/>
    </w:pPr>
    <w:rPr>
      <w:sz w:val="20"/>
      <w:szCs w:val="20"/>
    </w:rPr>
  </w:style>
  <w:style w:type="character" w:customStyle="1" w:styleId="CommentTextChar">
    <w:name w:val="Comment Text Char"/>
    <w:basedOn w:val="DefaultParagraphFont"/>
    <w:link w:val="CommentText"/>
    <w:uiPriority w:val="99"/>
    <w:semiHidden/>
    <w:rsid w:val="00261E9F"/>
    <w:rPr>
      <w:sz w:val="20"/>
      <w:szCs w:val="20"/>
    </w:rPr>
  </w:style>
  <w:style w:type="paragraph" w:styleId="CommentSubject">
    <w:name w:val="annotation subject"/>
    <w:basedOn w:val="CommentText"/>
    <w:next w:val="CommentText"/>
    <w:link w:val="CommentSubjectChar"/>
    <w:uiPriority w:val="99"/>
    <w:semiHidden/>
    <w:unhideWhenUsed/>
    <w:rsid w:val="00261E9F"/>
    <w:rPr>
      <w:b/>
      <w:bCs/>
    </w:rPr>
  </w:style>
  <w:style w:type="character" w:customStyle="1" w:styleId="CommentSubjectChar">
    <w:name w:val="Comment Subject Char"/>
    <w:basedOn w:val="CommentTextChar"/>
    <w:link w:val="CommentSubject"/>
    <w:uiPriority w:val="99"/>
    <w:semiHidden/>
    <w:rsid w:val="00261E9F"/>
    <w:rPr>
      <w:b/>
      <w:bCs/>
      <w:sz w:val="20"/>
      <w:szCs w:val="20"/>
    </w:rPr>
  </w:style>
  <w:style w:type="paragraph" w:styleId="Header">
    <w:name w:val="header"/>
    <w:basedOn w:val="Normal"/>
    <w:link w:val="HeaderChar"/>
    <w:uiPriority w:val="99"/>
    <w:unhideWhenUsed/>
    <w:rsid w:val="003263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37E"/>
  </w:style>
  <w:style w:type="paragraph" w:styleId="Footer">
    <w:name w:val="footer"/>
    <w:basedOn w:val="Normal"/>
    <w:link w:val="FooterChar"/>
    <w:uiPriority w:val="99"/>
    <w:unhideWhenUsed/>
    <w:rsid w:val="003263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3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1328</Words>
  <Characters>7576</Characters>
  <Application>Microsoft Office Word</Application>
  <DocSecurity>0</DocSecurity>
  <Lines>63</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Intermon Oxfam</Company>
  <LinksUpToDate>false</LinksUpToDate>
  <CharactersWithSpaces>8887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cyber</dc:creator>
  <cp:lastModifiedBy>Marie Fleurant</cp:lastModifiedBy>
  <cp:revision>3</cp:revision>
  <dcterms:created xsi:type="dcterms:W3CDTF">2016-02-24T19:48:00Z</dcterms:created>
  <dcterms:modified xsi:type="dcterms:W3CDTF">2016-02-24T20:07:00Z</dcterms:modified>
</cp:coreProperties>
</file>