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6CBD" w14:textId="77777777" w:rsidR="00362773" w:rsidRDefault="00362773"/>
    <w:p w14:paraId="651F57CA" w14:textId="77777777" w:rsidR="00362773" w:rsidRPr="00B373D3" w:rsidRDefault="00FF390F">
      <w:pPr>
        <w:rPr>
          <w:lang w:val="fr-FR"/>
        </w:rPr>
      </w:pPr>
      <w:r w:rsidRPr="00B373D3">
        <w:rPr>
          <w:b/>
          <w:sz w:val="32"/>
          <w:lang w:val="fr-FR"/>
        </w:rPr>
        <w:t>Termes de référence</w:t>
      </w:r>
    </w:p>
    <w:p w14:paraId="1B7468E3" w14:textId="7FD57470" w:rsidR="00362773" w:rsidRPr="00C5296F" w:rsidRDefault="003E700B">
      <w:pPr>
        <w:rPr>
          <w:lang w:val="fr-FR"/>
        </w:rPr>
      </w:pPr>
      <w:r>
        <w:rPr>
          <w:b/>
          <w:sz w:val="25"/>
          <w:lang w:val="fr-FR"/>
        </w:rPr>
        <w:t xml:space="preserve">Project </w:t>
      </w:r>
      <w:proofErr w:type="spellStart"/>
      <w:r>
        <w:rPr>
          <w:b/>
          <w:sz w:val="25"/>
          <w:lang w:val="fr-FR"/>
        </w:rPr>
        <w:t>Overview</w:t>
      </w:r>
      <w:proofErr w:type="spellEnd"/>
    </w:p>
    <w:p w14:paraId="5BE883E9" w14:textId="4D320A77" w:rsidR="00B373D3" w:rsidRPr="00B373D3" w:rsidRDefault="00B373D3" w:rsidP="00B373D3">
      <w:pPr>
        <w:rPr>
          <w:lang w:val="fr-FR"/>
        </w:rPr>
      </w:pPr>
      <w:r w:rsidRPr="00B373D3">
        <w:rPr>
          <w:lang w:val="fr-FR"/>
        </w:rPr>
        <w:t>Le projet Y-LEAF (</w:t>
      </w:r>
      <w:proofErr w:type="spellStart"/>
      <w:r w:rsidRPr="00B373D3">
        <w:rPr>
          <w:lang w:val="fr-FR"/>
        </w:rPr>
        <w:t>Youth-Led</w:t>
      </w:r>
      <w:proofErr w:type="spellEnd"/>
      <w:r w:rsidRPr="00B373D3">
        <w:rPr>
          <w:lang w:val="fr-FR"/>
        </w:rPr>
        <w:t xml:space="preserve"> Eco Action for the Future), piloté par </w:t>
      </w:r>
      <w:r w:rsidRPr="00C5296F">
        <w:rPr>
          <w:lang w:val="fr-FR"/>
        </w:rPr>
        <w:t xml:space="preserve">Georgetown </w:t>
      </w:r>
      <w:proofErr w:type="spellStart"/>
      <w:r w:rsidRPr="00C5296F">
        <w:rPr>
          <w:lang w:val="fr-FR"/>
        </w:rPr>
        <w:t>University</w:t>
      </w:r>
      <w:proofErr w:type="spellEnd"/>
      <w:r w:rsidRPr="00C5296F">
        <w:rPr>
          <w:lang w:val="fr-FR"/>
        </w:rPr>
        <w:t xml:space="preserve"> et FOLAJ+ en partenariat avec l’organisation Friends of Cité Soleil,</w:t>
      </w:r>
      <w:r w:rsidRPr="00B373D3">
        <w:rPr>
          <w:lang w:val="fr-FR"/>
        </w:rPr>
        <w:t xml:space="preserve"> vise à promouvoir l’autonomisation économique des jeunes en situation de vulnérabilité économique, à travers des initiatives </w:t>
      </w:r>
      <w:r w:rsidRPr="00C5296F">
        <w:rPr>
          <w:b/>
          <w:bCs/>
          <w:lang w:val="fr-FR"/>
        </w:rPr>
        <w:t>écologiques de production biodégradables</w:t>
      </w:r>
      <w:r w:rsidRPr="00B373D3">
        <w:rPr>
          <w:lang w:val="fr-FR"/>
        </w:rPr>
        <w:t>. Pour éclairer l’extension stratégique du projet, une étude de marché couvrant l’ensemble du territoire haïtien et un segment de la diaspora est envisagée afin d’évaluer les opportunités locales et transnationales.</w:t>
      </w:r>
    </w:p>
    <w:p w14:paraId="29C46495" w14:textId="77777777" w:rsidR="00A16015" w:rsidRDefault="00A16015" w:rsidP="00B373D3">
      <w:pPr>
        <w:rPr>
          <w:lang w:val="fr-FR"/>
        </w:rPr>
      </w:pPr>
      <w:r w:rsidRPr="00B373D3">
        <w:rPr>
          <w:b/>
          <w:sz w:val="25"/>
          <w:lang w:val="fr-FR"/>
        </w:rPr>
        <w:t>Objectifs</w:t>
      </w:r>
      <w:r w:rsidRPr="00B373D3">
        <w:rPr>
          <w:lang w:val="fr-FR"/>
        </w:rPr>
        <w:t xml:space="preserve"> </w:t>
      </w:r>
    </w:p>
    <w:p w14:paraId="2438DA4E" w14:textId="31126549" w:rsidR="00B373D3" w:rsidRPr="00B373D3" w:rsidRDefault="00B373D3" w:rsidP="00B373D3">
      <w:pPr>
        <w:rPr>
          <w:lang w:val="fr-FR"/>
        </w:rPr>
      </w:pPr>
      <w:r w:rsidRPr="00B373D3">
        <w:rPr>
          <w:lang w:val="fr-FR"/>
        </w:rPr>
        <w:t>Le projet Y-LEAF vise à autonomiser 150 jeunes Haïtiens, âgés de 15 à 30 ans en les intégrant dans une dynamique d’économie verte. Cette initiative se concentre sur la formation professionnelle et l'entrepreneuriat social pour la production de produits biodégradables.</w:t>
      </w:r>
    </w:p>
    <w:p w14:paraId="341B9E0F" w14:textId="65574C8C" w:rsidR="00B373D3" w:rsidRPr="00B373D3" w:rsidRDefault="00B373D3" w:rsidP="00B373D3">
      <w:pPr>
        <w:rPr>
          <w:lang w:val="fr-FR"/>
        </w:rPr>
      </w:pPr>
      <w:r w:rsidRPr="00B373D3">
        <w:rPr>
          <w:lang w:val="fr-FR"/>
        </w:rPr>
        <w:t>En formant ces jeunes à la fabrication de produits respectueux de l'environnement, principalement à partir de fibres de bananier, de textiles recyclés ou de déchets agricoles, ce projet adresse simultanément la marginalisation sociale des jeunes et l'urgence environnementale liée à l'utilisation du plastique en Haïti. L</w:t>
      </w:r>
      <w:r w:rsidR="00A60B05">
        <w:rPr>
          <w:lang w:val="fr-FR"/>
        </w:rPr>
        <w:t>’objectif r</w:t>
      </w:r>
      <w:r w:rsidR="009E4663">
        <w:rPr>
          <w:lang w:val="fr-FR"/>
        </w:rPr>
        <w:t>ée</w:t>
      </w:r>
      <w:r w:rsidR="00A60B05">
        <w:rPr>
          <w:lang w:val="fr-FR"/>
        </w:rPr>
        <w:t xml:space="preserve">l du </w:t>
      </w:r>
      <w:r w:rsidRPr="00B373D3">
        <w:rPr>
          <w:lang w:val="fr-FR"/>
        </w:rPr>
        <w:t xml:space="preserve">projet </w:t>
      </w:r>
      <w:r w:rsidR="009536AE">
        <w:rPr>
          <w:lang w:val="fr-FR"/>
        </w:rPr>
        <w:t xml:space="preserve">est le </w:t>
      </w:r>
      <w:r w:rsidRPr="00B373D3">
        <w:rPr>
          <w:lang w:val="fr-FR"/>
        </w:rPr>
        <w:t xml:space="preserve">lancement de trois micro-entreprises, </w:t>
      </w:r>
      <w:r w:rsidR="0032415A">
        <w:rPr>
          <w:lang w:val="fr-FR"/>
        </w:rPr>
        <w:t xml:space="preserve">gérer </w:t>
      </w:r>
      <w:r w:rsidRPr="00B373D3">
        <w:rPr>
          <w:lang w:val="fr-FR"/>
        </w:rPr>
        <w:t>par les jeune</w:t>
      </w:r>
      <w:r w:rsidR="00A54950">
        <w:rPr>
          <w:lang w:val="fr-FR"/>
        </w:rPr>
        <w:t xml:space="preserve">s qui doit être </w:t>
      </w:r>
      <w:r w:rsidR="00A54950" w:rsidRPr="009E4663">
        <w:rPr>
          <w:lang w:val="fr-FR"/>
        </w:rPr>
        <w:t>profitable et durable</w:t>
      </w:r>
      <w:r w:rsidRPr="00B373D3">
        <w:rPr>
          <w:lang w:val="fr-FR"/>
        </w:rPr>
        <w:t>. L</w:t>
      </w:r>
      <w:r w:rsidR="00093075">
        <w:rPr>
          <w:lang w:val="fr-FR"/>
        </w:rPr>
        <w:t>a</w:t>
      </w:r>
      <w:r w:rsidR="00D04E62">
        <w:rPr>
          <w:lang w:val="fr-FR"/>
        </w:rPr>
        <w:t xml:space="preserve"> mission</w:t>
      </w:r>
      <w:r w:rsidR="006D14A8">
        <w:rPr>
          <w:lang w:val="fr-FR"/>
        </w:rPr>
        <w:t xml:space="preserve"> </w:t>
      </w:r>
      <w:r w:rsidRPr="00B373D3">
        <w:rPr>
          <w:lang w:val="fr-FR"/>
        </w:rPr>
        <w:t>est de créer des opportunités économiques concrètes et de contribuer à un avenir plus durable pour Haïti.</w:t>
      </w:r>
    </w:p>
    <w:p w14:paraId="7C7903CB" w14:textId="58CD80F3" w:rsidR="006E274F" w:rsidRPr="00B373D3" w:rsidRDefault="006E274F" w:rsidP="006E274F">
      <w:pPr>
        <w:rPr>
          <w:lang w:val="fr-FR"/>
        </w:rPr>
      </w:pPr>
      <w:proofErr w:type="spellStart"/>
      <w:r w:rsidRPr="006E274F">
        <w:rPr>
          <w:b/>
          <w:sz w:val="25"/>
          <w:lang w:val="fr-FR"/>
        </w:rPr>
        <w:t>Attentents</w:t>
      </w:r>
      <w:proofErr w:type="spellEnd"/>
    </w:p>
    <w:p w14:paraId="32A5B2F6" w14:textId="77777777" w:rsidR="00DA2424" w:rsidRPr="00DA2424" w:rsidRDefault="00DA2424" w:rsidP="00DA2424">
      <w:pPr>
        <w:pStyle w:val="ListParagraph"/>
        <w:numPr>
          <w:ilvl w:val="0"/>
          <w:numId w:val="10"/>
        </w:numPr>
        <w:rPr>
          <w:lang w:val="fr-FR"/>
        </w:rPr>
      </w:pPr>
      <w:r w:rsidRPr="00DA2424">
        <w:rPr>
          <w:lang w:val="fr-FR"/>
        </w:rPr>
        <w:t>Identifier les ressources locales disponibles pour la production (bananier, textile, déchets agricoles).</w:t>
      </w:r>
    </w:p>
    <w:p w14:paraId="3C564B57" w14:textId="555170CD" w:rsidR="00B373D3" w:rsidRPr="006641B7" w:rsidRDefault="00B373D3" w:rsidP="006641B7">
      <w:pPr>
        <w:pStyle w:val="ListParagraph"/>
        <w:numPr>
          <w:ilvl w:val="0"/>
          <w:numId w:val="10"/>
        </w:numPr>
        <w:rPr>
          <w:lang w:val="fr-FR"/>
        </w:rPr>
      </w:pPr>
      <w:r w:rsidRPr="00B373D3">
        <w:rPr>
          <w:lang w:val="fr-FR"/>
        </w:rPr>
        <w:t xml:space="preserve">Évaluer la demande </w:t>
      </w:r>
      <w:r w:rsidR="00A14157">
        <w:rPr>
          <w:lang w:val="fr-FR"/>
        </w:rPr>
        <w:t xml:space="preserve">nationale </w:t>
      </w:r>
      <w:r w:rsidRPr="00B373D3">
        <w:rPr>
          <w:lang w:val="fr-FR"/>
        </w:rPr>
        <w:t>en produits écoresponsables</w:t>
      </w:r>
      <w:r w:rsidR="006641B7">
        <w:rPr>
          <w:lang w:val="fr-FR"/>
        </w:rPr>
        <w:t xml:space="preserve"> et c</w:t>
      </w:r>
      <w:r w:rsidRPr="006641B7">
        <w:rPr>
          <w:lang w:val="fr-FR"/>
        </w:rPr>
        <w:t>artographier les circuits commerciaux et les partenariats potentiels (marchés, industries, municipalités, diaspora).</w:t>
      </w:r>
    </w:p>
    <w:p w14:paraId="55950BAA" w14:textId="0028DCE8" w:rsidR="00B373D3" w:rsidRPr="00B373D3" w:rsidRDefault="00B373D3" w:rsidP="00B373D3">
      <w:pPr>
        <w:pStyle w:val="ListParagraph"/>
        <w:numPr>
          <w:ilvl w:val="0"/>
          <w:numId w:val="10"/>
        </w:numPr>
        <w:rPr>
          <w:lang w:val="fr-FR"/>
        </w:rPr>
      </w:pPr>
      <w:r w:rsidRPr="00B373D3">
        <w:rPr>
          <w:lang w:val="fr-FR"/>
        </w:rPr>
        <w:t xml:space="preserve">Analyser </w:t>
      </w:r>
      <w:r w:rsidR="007D14F5">
        <w:rPr>
          <w:lang w:val="fr-FR"/>
        </w:rPr>
        <w:t xml:space="preserve">la </w:t>
      </w:r>
      <w:r w:rsidR="00E675E8">
        <w:rPr>
          <w:lang w:val="fr-FR"/>
        </w:rPr>
        <w:t>faisabilité</w:t>
      </w:r>
      <w:r w:rsidR="007D14F5">
        <w:rPr>
          <w:lang w:val="fr-FR"/>
        </w:rPr>
        <w:t xml:space="preserve"> </w:t>
      </w:r>
      <w:r w:rsidR="00E675E8">
        <w:rPr>
          <w:lang w:val="fr-FR"/>
        </w:rPr>
        <w:t>logistique</w:t>
      </w:r>
      <w:r w:rsidR="007D14F5">
        <w:rPr>
          <w:lang w:val="fr-FR"/>
        </w:rPr>
        <w:t xml:space="preserve"> de la production des produits</w:t>
      </w:r>
      <w:r w:rsidR="006C3CB9">
        <w:rPr>
          <w:lang w:val="fr-FR"/>
        </w:rPr>
        <w:t xml:space="preserve"> </w:t>
      </w:r>
      <w:r w:rsidR="00E675E8">
        <w:rPr>
          <w:lang w:val="fr-FR"/>
        </w:rPr>
        <w:t xml:space="preserve">finis en </w:t>
      </w:r>
      <w:proofErr w:type="spellStart"/>
      <w:r w:rsidR="00E675E8">
        <w:rPr>
          <w:lang w:val="fr-FR"/>
        </w:rPr>
        <w:t>Haiti</w:t>
      </w:r>
      <w:proofErr w:type="spellEnd"/>
      <w:r w:rsidR="00E675E8">
        <w:rPr>
          <w:lang w:val="fr-FR"/>
        </w:rPr>
        <w:t xml:space="preserve">. </w:t>
      </w:r>
    </w:p>
    <w:p w14:paraId="1BCB039F" w14:textId="77777777" w:rsidR="00362773" w:rsidRPr="00B373D3" w:rsidRDefault="00FF390F">
      <w:pPr>
        <w:rPr>
          <w:lang w:val="fr-FR"/>
        </w:rPr>
      </w:pPr>
      <w:r w:rsidRPr="00B373D3">
        <w:rPr>
          <w:b/>
          <w:sz w:val="25"/>
          <w:lang w:val="fr-FR"/>
        </w:rPr>
        <w:t>Portée géographique</w:t>
      </w:r>
    </w:p>
    <w:p w14:paraId="5656BA2F" w14:textId="0D035BC9" w:rsidR="00B373D3" w:rsidRPr="00B70AA1" w:rsidRDefault="00B373D3" w:rsidP="00B373D3">
      <w:pPr>
        <w:tabs>
          <w:tab w:val="num" w:pos="720"/>
        </w:tabs>
        <w:spacing w:after="120" w:line="240" w:lineRule="auto"/>
        <w:jc w:val="both"/>
        <w:rPr>
          <w:lang w:val="fr-FR"/>
        </w:rPr>
      </w:pPr>
      <w:r w:rsidRPr="00B70AA1">
        <w:rPr>
          <w:lang w:val="fr-FR"/>
        </w:rPr>
        <w:t xml:space="preserve">L’étude portera sur les 10 départements d’Haïti, </w:t>
      </w:r>
      <w:r w:rsidR="00EB2358">
        <w:rPr>
          <w:lang w:val="fr-FR"/>
        </w:rPr>
        <w:t>centrée</w:t>
      </w:r>
      <w:r w:rsidR="0016494F">
        <w:rPr>
          <w:lang w:val="fr-FR"/>
        </w:rPr>
        <w:t xml:space="preserve"> </w:t>
      </w:r>
      <w:proofErr w:type="gramStart"/>
      <w:r w:rsidR="0016494F" w:rsidRPr="0016494F">
        <w:rPr>
          <w:lang w:val="fr-FR"/>
        </w:rPr>
        <w:t>sur</w:t>
      </w:r>
      <w:proofErr w:type="gramEnd"/>
      <w:r w:rsidR="0016494F" w:rsidRPr="0016494F">
        <w:rPr>
          <w:lang w:val="fr-FR"/>
        </w:rPr>
        <w:t xml:space="preserve"> Port-au-Prince, Cap-Haïtien et Les Cayes</w:t>
      </w:r>
      <w:r w:rsidR="00EB2358">
        <w:rPr>
          <w:lang w:val="fr-FR"/>
        </w:rPr>
        <w:t>,</w:t>
      </w:r>
      <w:r w:rsidR="0016494F">
        <w:rPr>
          <w:lang w:val="fr-FR"/>
        </w:rPr>
        <w:t xml:space="preserve"> </w:t>
      </w:r>
      <w:r w:rsidRPr="00B70AA1">
        <w:rPr>
          <w:lang w:val="fr-FR"/>
        </w:rPr>
        <w:t xml:space="preserve">tant en milieu urbain que rural. Elle inclura également un volet sur la diaspora haïtienne, avec un focus sur un ou plusieurs pôles à forte présence (par ex. : Montréal, New York, Miami), afin d’évaluer </w:t>
      </w:r>
      <w:r w:rsidRPr="00552F3B">
        <w:rPr>
          <w:lang w:val="fr-FR"/>
        </w:rPr>
        <w:t>l</w:t>
      </w:r>
      <w:r w:rsidRPr="00B70AA1">
        <w:rPr>
          <w:lang w:val="fr-FR"/>
        </w:rPr>
        <w:t>’intérêt pour les produits écoresponsables créés par les jeunes haïtiens</w:t>
      </w:r>
      <w:r>
        <w:rPr>
          <w:lang w:val="fr-FR"/>
        </w:rPr>
        <w:t xml:space="preserve"> et l</w:t>
      </w:r>
      <w:r w:rsidRPr="00B70AA1">
        <w:rPr>
          <w:lang w:val="fr-FR"/>
        </w:rPr>
        <w:t>e potentiel d’appui économique (investissements, commandes, parrainages, logistique).</w:t>
      </w:r>
    </w:p>
    <w:p w14:paraId="7FC51CFB" w14:textId="77777777" w:rsidR="00B373D3" w:rsidRPr="00E71C94" w:rsidRDefault="00B373D3" w:rsidP="00B373D3">
      <w:pPr>
        <w:jc w:val="both"/>
        <w:rPr>
          <w:b/>
          <w:bCs/>
          <w:sz w:val="25"/>
          <w:szCs w:val="25"/>
          <w:lang w:val="fr-FR"/>
        </w:rPr>
      </w:pPr>
      <w:r w:rsidRPr="00E71C94">
        <w:rPr>
          <w:b/>
          <w:bCs/>
          <w:sz w:val="25"/>
          <w:szCs w:val="25"/>
          <w:lang w:val="fr-FR"/>
        </w:rPr>
        <w:lastRenderedPageBreak/>
        <w:t>Description de t</w:t>
      </w:r>
      <w:r>
        <w:rPr>
          <w:b/>
          <w:bCs/>
          <w:sz w:val="25"/>
          <w:szCs w:val="25"/>
          <w:lang w:val="fr-FR"/>
        </w:rPr>
        <w:t>â</w:t>
      </w:r>
      <w:r w:rsidRPr="00E71C94">
        <w:rPr>
          <w:b/>
          <w:bCs/>
          <w:sz w:val="25"/>
          <w:szCs w:val="25"/>
          <w:lang w:val="fr-FR"/>
        </w:rPr>
        <w:t>ches</w:t>
      </w:r>
    </w:p>
    <w:p w14:paraId="47F5D66C" w14:textId="476DCC46" w:rsidR="00B373D3" w:rsidRPr="002255BD" w:rsidRDefault="00B373D3" w:rsidP="00B373D3">
      <w:pPr>
        <w:jc w:val="both"/>
        <w:rPr>
          <w:lang w:val="fr-FR"/>
        </w:rPr>
      </w:pPr>
      <w:r w:rsidRPr="002255BD">
        <w:rPr>
          <w:lang w:val="fr-FR"/>
        </w:rPr>
        <w:t>La firme</w:t>
      </w:r>
      <w:r>
        <w:rPr>
          <w:lang w:val="fr-FR"/>
        </w:rPr>
        <w:t xml:space="preserve"> de consultation</w:t>
      </w:r>
      <w:r w:rsidRPr="002255BD">
        <w:rPr>
          <w:lang w:val="fr-FR"/>
        </w:rPr>
        <w:t xml:space="preserve"> ou le/la consultante sélectionnée devra :</w:t>
      </w:r>
    </w:p>
    <w:p w14:paraId="3D2FD636" w14:textId="0F63D170" w:rsidR="00B373D3" w:rsidRDefault="00B373D3" w:rsidP="007D413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lang w:val="fr-FR"/>
        </w:rPr>
      </w:pPr>
      <w:r w:rsidRPr="007D4130">
        <w:rPr>
          <w:lang w:val="fr-FR"/>
        </w:rPr>
        <w:t>Élaborer un plan de travail détaillé, incluant la méthodologie, les outils de collecte/analyse de données et un calendrier d’exécution.</w:t>
      </w:r>
    </w:p>
    <w:p w14:paraId="72C98C1D" w14:textId="5591A92B" w:rsidR="007D4130" w:rsidRPr="007D4130" w:rsidRDefault="007D4130" w:rsidP="007D413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lang w:val="fr-FR"/>
        </w:rPr>
      </w:pPr>
      <w:r w:rsidRPr="002255BD">
        <w:rPr>
          <w:lang w:val="fr-FR"/>
        </w:rPr>
        <w:t>Produire un rapport final structuré avec des recommandations opérationnelles et une synthèse des résultats.</w:t>
      </w:r>
    </w:p>
    <w:p w14:paraId="6F399B73" w14:textId="77777777" w:rsidR="00B373D3" w:rsidRPr="002255BD" w:rsidRDefault="00B373D3" w:rsidP="007D4130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fr-FR"/>
        </w:rPr>
      </w:pPr>
      <w:r w:rsidRPr="002255BD">
        <w:rPr>
          <w:lang w:val="fr-FR"/>
        </w:rPr>
        <w:t>Effectuer une revue documentaire sur les dynamiques de marché liées aux produits biodégradables, en Haïti et dans la diaspora.</w:t>
      </w:r>
    </w:p>
    <w:p w14:paraId="100D6FB6" w14:textId="77777777" w:rsidR="00B373D3" w:rsidRPr="002255BD" w:rsidRDefault="00B373D3" w:rsidP="007D4130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fr-FR"/>
        </w:rPr>
      </w:pPr>
      <w:r w:rsidRPr="002255BD">
        <w:rPr>
          <w:lang w:val="fr-FR"/>
        </w:rPr>
        <w:t>Cartographier les chaînes de valeur</w:t>
      </w:r>
      <w:r>
        <w:rPr>
          <w:lang w:val="fr-FR"/>
        </w:rPr>
        <w:t>s</w:t>
      </w:r>
      <w:r w:rsidRPr="002255BD">
        <w:rPr>
          <w:lang w:val="fr-FR"/>
        </w:rPr>
        <w:t xml:space="preserve"> pertinentes pour la production écologique d’emballages dans les 10 départements.</w:t>
      </w:r>
    </w:p>
    <w:p w14:paraId="6E834001" w14:textId="77777777" w:rsidR="00B373D3" w:rsidRPr="002255BD" w:rsidRDefault="00B373D3" w:rsidP="007D4130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fr-FR"/>
        </w:rPr>
      </w:pPr>
      <w:r w:rsidRPr="002255BD">
        <w:rPr>
          <w:lang w:val="fr-FR"/>
        </w:rPr>
        <w:t>Mener la collecte de données qualitatives et quantitatives auprès des acteurs clés : jeunes, consommateurs, marchés, institutions locales, représentants de la diaspora.</w:t>
      </w:r>
    </w:p>
    <w:p w14:paraId="3C3B4A9E" w14:textId="77777777" w:rsidR="00B373D3" w:rsidRPr="002255BD" w:rsidRDefault="00B373D3" w:rsidP="007D4130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fr-FR"/>
        </w:rPr>
      </w:pPr>
      <w:r w:rsidRPr="002255BD">
        <w:rPr>
          <w:lang w:val="fr-FR"/>
        </w:rPr>
        <w:t>Analyser la demande, l’offre, les préférences des consommateurs, la concurrence et les circuits de distribution existants.</w:t>
      </w:r>
    </w:p>
    <w:p w14:paraId="0528F343" w14:textId="32B67A0C" w:rsidR="00E10D84" w:rsidRPr="00BF6C78" w:rsidRDefault="00B373D3" w:rsidP="00BF6C78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lang w:val="fr-FR"/>
        </w:rPr>
      </w:pPr>
      <w:r w:rsidRPr="00763B05">
        <w:rPr>
          <w:lang w:val="fr-FR"/>
        </w:rPr>
        <w:t>Identifier des opportunités de partenariat et de débouchés commerciaux à l’échelle locale, nationale</w:t>
      </w:r>
      <w:r w:rsidR="0028633F" w:rsidRPr="00763B05">
        <w:rPr>
          <w:lang w:val="fr-FR"/>
        </w:rPr>
        <w:t>,</w:t>
      </w:r>
      <w:r w:rsidRPr="00763B05">
        <w:rPr>
          <w:lang w:val="fr-FR"/>
        </w:rPr>
        <w:t xml:space="preserve"> et de la diaspora</w:t>
      </w:r>
      <w:r w:rsidR="003B6BDD" w:rsidRPr="00763B05">
        <w:rPr>
          <w:lang w:val="fr-FR"/>
        </w:rPr>
        <w:t xml:space="preserve"> </w:t>
      </w:r>
      <w:r w:rsidR="00EC379C" w:rsidRPr="00763B05">
        <w:rPr>
          <w:lang w:val="fr-FR"/>
        </w:rPr>
        <w:t>pour les produits suggères dans le rapport final.</w:t>
      </w:r>
    </w:p>
    <w:p w14:paraId="23615F60" w14:textId="5C553055" w:rsidR="00E10D84" w:rsidRDefault="00E10D84">
      <w:pPr>
        <w:rPr>
          <w:b/>
          <w:sz w:val="25"/>
          <w:lang w:val="fr-FR"/>
        </w:rPr>
      </w:pPr>
      <w:proofErr w:type="spellStart"/>
      <w:r>
        <w:rPr>
          <w:b/>
          <w:sz w:val="25"/>
          <w:lang w:val="fr-FR"/>
        </w:rPr>
        <w:t>Constraints</w:t>
      </w:r>
      <w:proofErr w:type="spellEnd"/>
      <w:r>
        <w:rPr>
          <w:b/>
          <w:sz w:val="25"/>
          <w:lang w:val="fr-FR"/>
        </w:rPr>
        <w:t>/</w:t>
      </w:r>
      <w:proofErr w:type="spellStart"/>
      <w:r>
        <w:rPr>
          <w:b/>
          <w:sz w:val="25"/>
          <w:lang w:val="fr-FR"/>
        </w:rPr>
        <w:t>Requirements</w:t>
      </w:r>
      <w:proofErr w:type="spellEnd"/>
    </w:p>
    <w:p w14:paraId="736C4E1E" w14:textId="49001B4E" w:rsidR="00E10D84" w:rsidRDefault="00E10D84" w:rsidP="00E10D84">
      <w:pPr>
        <w:pStyle w:val="ListParagraph"/>
        <w:numPr>
          <w:ilvl w:val="0"/>
          <w:numId w:val="12"/>
        </w:numPr>
        <w:spacing w:after="240" w:line="259" w:lineRule="auto"/>
        <w:jc w:val="both"/>
        <w:rPr>
          <w:lang w:val="fr-FR"/>
        </w:rPr>
      </w:pPr>
      <w:r>
        <w:rPr>
          <w:lang w:val="fr-FR"/>
        </w:rPr>
        <w:t>Usage d’un r</w:t>
      </w:r>
      <w:r w:rsidRPr="002255BD">
        <w:rPr>
          <w:lang w:val="fr-FR"/>
        </w:rPr>
        <w:t>apport méthodologique validé</w:t>
      </w:r>
    </w:p>
    <w:p w14:paraId="3F9FAE8F" w14:textId="609C27D2" w:rsidR="00BF6C78" w:rsidRPr="006313B8" w:rsidRDefault="00BF6C78" w:rsidP="006313B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lang w:val="fr-FR"/>
        </w:rPr>
      </w:pPr>
      <w:r w:rsidRPr="002255BD">
        <w:rPr>
          <w:lang w:val="fr-FR"/>
        </w:rPr>
        <w:t>Présenter les résultats à l’équipe et aux parties prenantes lors d’un atelier ou d’une réunion virtuelle.</w:t>
      </w:r>
    </w:p>
    <w:p w14:paraId="3D5D9571" w14:textId="1B1C2FC5" w:rsidR="00362773" w:rsidRPr="00B373D3" w:rsidRDefault="00FF390F">
      <w:pPr>
        <w:rPr>
          <w:lang w:val="fr-FR"/>
        </w:rPr>
      </w:pPr>
      <w:r w:rsidRPr="00B373D3">
        <w:rPr>
          <w:b/>
          <w:sz w:val="25"/>
          <w:lang w:val="fr-FR"/>
        </w:rPr>
        <w:t>Livrables</w:t>
      </w:r>
    </w:p>
    <w:p w14:paraId="510EE2CB" w14:textId="77777777" w:rsidR="00B373D3" w:rsidRPr="002255BD" w:rsidRDefault="00B373D3" w:rsidP="00B373D3">
      <w:pPr>
        <w:pStyle w:val="ListParagraph"/>
        <w:numPr>
          <w:ilvl w:val="0"/>
          <w:numId w:val="12"/>
        </w:numPr>
        <w:spacing w:after="240" w:line="259" w:lineRule="auto"/>
        <w:jc w:val="both"/>
        <w:rPr>
          <w:lang w:val="fr-FR"/>
        </w:rPr>
      </w:pPr>
      <w:r w:rsidRPr="002255BD">
        <w:rPr>
          <w:lang w:val="fr-FR"/>
        </w:rPr>
        <w:t>Rapport de collecte de données</w:t>
      </w:r>
    </w:p>
    <w:p w14:paraId="431F61FC" w14:textId="77777777" w:rsidR="00B373D3" w:rsidRPr="002255BD" w:rsidRDefault="00B373D3" w:rsidP="00B373D3">
      <w:pPr>
        <w:pStyle w:val="ListParagraph"/>
        <w:numPr>
          <w:ilvl w:val="0"/>
          <w:numId w:val="12"/>
        </w:numPr>
        <w:spacing w:after="240" w:line="259" w:lineRule="auto"/>
        <w:jc w:val="both"/>
        <w:rPr>
          <w:lang w:val="fr-FR"/>
        </w:rPr>
      </w:pPr>
      <w:r w:rsidRPr="002255BD">
        <w:rPr>
          <w:lang w:val="fr-FR"/>
        </w:rPr>
        <w:t>Analyse par département et diaspora</w:t>
      </w:r>
    </w:p>
    <w:p w14:paraId="25FECB07" w14:textId="77777777" w:rsidR="00B373D3" w:rsidRPr="002255BD" w:rsidRDefault="00B373D3" w:rsidP="0091563B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lang w:val="fr-FR"/>
        </w:rPr>
      </w:pPr>
      <w:r w:rsidRPr="002255BD">
        <w:rPr>
          <w:lang w:val="fr-FR"/>
        </w:rPr>
        <w:t>Rapport final avec recommandations stratégiques</w:t>
      </w:r>
    </w:p>
    <w:p w14:paraId="3ABF9426" w14:textId="77777777" w:rsidR="0091563B" w:rsidRPr="0091563B" w:rsidRDefault="0091563B" w:rsidP="0091563B">
      <w:pPr>
        <w:spacing w:after="0" w:line="240" w:lineRule="auto"/>
        <w:ind w:left="720"/>
        <w:jc w:val="both"/>
        <w:rPr>
          <w:highlight w:val="yellow"/>
          <w:lang w:val="fr-FR"/>
        </w:rPr>
      </w:pPr>
      <w:r w:rsidRPr="0091563B">
        <w:rPr>
          <w:rFonts w:ascii="Segoe UI Symbol" w:hAnsi="Segoe UI Symbol" w:cs="Segoe UI Symbol"/>
          <w:lang w:val="fr-FR"/>
        </w:rPr>
        <w:t>➤</w:t>
      </w:r>
      <w:r w:rsidRPr="0091563B">
        <w:rPr>
          <w:lang w:val="fr-FR"/>
        </w:rPr>
        <w:t xml:space="preserve"> </w:t>
      </w:r>
      <w:r w:rsidRPr="0091563B">
        <w:rPr>
          <w:highlight w:val="yellow"/>
          <w:lang w:val="fr-FR"/>
        </w:rPr>
        <w:t>Recommandations pour la mesure du succès :</w:t>
      </w:r>
    </w:p>
    <w:p w14:paraId="62A35004" w14:textId="77777777" w:rsidR="0091563B" w:rsidRPr="0091563B" w:rsidRDefault="0091563B" w:rsidP="0091563B">
      <w:pPr>
        <w:numPr>
          <w:ilvl w:val="1"/>
          <w:numId w:val="12"/>
        </w:numPr>
        <w:spacing w:after="0" w:line="240" w:lineRule="auto"/>
        <w:jc w:val="both"/>
        <w:rPr>
          <w:highlight w:val="yellow"/>
          <w:lang w:val="fr-FR"/>
        </w:rPr>
      </w:pPr>
      <w:r w:rsidRPr="0091563B">
        <w:rPr>
          <w:highlight w:val="yellow"/>
          <w:lang w:val="fr-FR"/>
        </w:rPr>
        <w:t>Impact à long terme sur les jeunes (compétences, emploi, réinsertion, suivi)</w:t>
      </w:r>
    </w:p>
    <w:p w14:paraId="2E419DF8" w14:textId="77777777" w:rsidR="0091563B" w:rsidRPr="0091563B" w:rsidRDefault="0091563B" w:rsidP="0091563B">
      <w:pPr>
        <w:numPr>
          <w:ilvl w:val="1"/>
          <w:numId w:val="12"/>
        </w:numPr>
        <w:spacing w:after="0" w:line="240" w:lineRule="auto"/>
        <w:jc w:val="both"/>
        <w:rPr>
          <w:highlight w:val="yellow"/>
          <w:lang w:val="fr-FR"/>
        </w:rPr>
      </w:pPr>
      <w:r w:rsidRPr="0091563B">
        <w:rPr>
          <w:highlight w:val="yellow"/>
          <w:lang w:val="fr-FR"/>
        </w:rPr>
        <w:t>Indicateurs de durabilité (pérennité, bénéfices environnementaux, demande locale)</w:t>
      </w:r>
    </w:p>
    <w:p w14:paraId="2655F7E1" w14:textId="77777777" w:rsidR="0091563B" w:rsidRPr="0091563B" w:rsidRDefault="0091563B" w:rsidP="0091563B">
      <w:pPr>
        <w:numPr>
          <w:ilvl w:val="1"/>
          <w:numId w:val="12"/>
        </w:numPr>
        <w:spacing w:after="0" w:line="240" w:lineRule="auto"/>
        <w:jc w:val="both"/>
        <w:rPr>
          <w:highlight w:val="yellow"/>
          <w:lang w:val="fr-FR"/>
        </w:rPr>
      </w:pPr>
      <w:r w:rsidRPr="0091563B">
        <w:rPr>
          <w:highlight w:val="yellow"/>
          <w:lang w:val="fr-FR"/>
        </w:rPr>
        <w:t>Propositions de KPI réalistes pour le suivi et l’évaluation (S&amp;E)</w:t>
      </w:r>
    </w:p>
    <w:p w14:paraId="2D44CDF6" w14:textId="6D3487ED" w:rsidR="00E2487B" w:rsidRPr="00E2487B" w:rsidRDefault="0091563B" w:rsidP="00E2487B">
      <w:pPr>
        <w:spacing w:after="0" w:line="240" w:lineRule="auto"/>
        <w:ind w:firstLine="720"/>
        <w:rPr>
          <w:highlight w:val="yellow"/>
          <w:lang w:val="fr-FR"/>
        </w:rPr>
      </w:pPr>
      <w:r w:rsidRPr="00E2487B">
        <w:rPr>
          <w:rFonts w:ascii="Segoe UI Symbol" w:hAnsi="Segoe UI Symbol" w:cs="Segoe UI Symbol"/>
          <w:highlight w:val="yellow"/>
          <w:lang w:val="fr-FR"/>
        </w:rPr>
        <w:t>➤</w:t>
      </w:r>
      <w:r w:rsidRPr="00E2487B">
        <w:rPr>
          <w:highlight w:val="yellow"/>
          <w:lang w:val="fr-FR"/>
        </w:rPr>
        <w:t xml:space="preserve"> </w:t>
      </w:r>
      <w:r w:rsidR="00E2487B" w:rsidRPr="00E2487B">
        <w:rPr>
          <w:highlight w:val="yellow"/>
          <w:lang w:val="fr-FR"/>
        </w:rPr>
        <w:t>Accent à mettre dans les recommandations finales :</w:t>
      </w:r>
    </w:p>
    <w:p w14:paraId="7EB8EF85" w14:textId="77777777" w:rsidR="00E2487B" w:rsidRPr="00543A65" w:rsidRDefault="00E2487B" w:rsidP="00E2487B">
      <w:pPr>
        <w:pStyle w:val="ListParagraph"/>
        <w:numPr>
          <w:ilvl w:val="0"/>
          <w:numId w:val="22"/>
        </w:numPr>
        <w:spacing w:after="0" w:line="240" w:lineRule="auto"/>
        <w:rPr>
          <w:highlight w:val="yellow"/>
          <w:lang w:val="fr-FR"/>
        </w:rPr>
      </w:pPr>
      <w:r w:rsidRPr="00E2487B">
        <w:rPr>
          <w:highlight w:val="yellow"/>
          <w:lang w:val="fr-FR"/>
        </w:rPr>
        <w:t>Une analyse des capacités de production et de la faisabilité dans des conditions de ressources limitées est essentielle</w:t>
      </w:r>
      <w:r w:rsidRPr="00543A65">
        <w:rPr>
          <w:highlight w:val="yellow"/>
          <w:lang w:val="fr-FR"/>
        </w:rPr>
        <w:t xml:space="preserve">. Étant donné que les entreprises seront dirigées par des jeunes, les processus de production doivent être : </w:t>
      </w:r>
    </w:p>
    <w:p w14:paraId="31CCE02B" w14:textId="77777777" w:rsidR="00E2487B" w:rsidRPr="00543A65" w:rsidRDefault="00E2487B" w:rsidP="00E2487B">
      <w:pPr>
        <w:pStyle w:val="ListParagraph"/>
        <w:numPr>
          <w:ilvl w:val="1"/>
          <w:numId w:val="22"/>
        </w:numPr>
        <w:spacing w:after="0" w:line="240" w:lineRule="auto"/>
        <w:rPr>
          <w:highlight w:val="yellow"/>
          <w:lang w:val="fr-FR"/>
        </w:rPr>
      </w:pPr>
      <w:r w:rsidRPr="00543A65">
        <w:rPr>
          <w:highlight w:val="yellow"/>
          <w:lang w:val="fr-FR"/>
        </w:rPr>
        <w:t xml:space="preserve">Techniquement accessibles </w:t>
      </w:r>
    </w:p>
    <w:p w14:paraId="7E94B0C5" w14:textId="4B58D7FF" w:rsidR="00E2487B" w:rsidRPr="00543A65" w:rsidRDefault="00E2487B" w:rsidP="00E2487B">
      <w:pPr>
        <w:pStyle w:val="ListParagraph"/>
        <w:numPr>
          <w:ilvl w:val="1"/>
          <w:numId w:val="22"/>
        </w:numPr>
        <w:spacing w:after="0" w:line="240" w:lineRule="auto"/>
        <w:rPr>
          <w:highlight w:val="yellow"/>
          <w:lang w:val="fr-FR"/>
        </w:rPr>
      </w:pPr>
      <w:r w:rsidRPr="00543A65">
        <w:rPr>
          <w:highlight w:val="yellow"/>
          <w:lang w:val="fr-FR"/>
        </w:rPr>
        <w:t xml:space="preserve">Financièrement abordables </w:t>
      </w:r>
    </w:p>
    <w:p w14:paraId="0BD9EB06" w14:textId="3C37B0D5" w:rsidR="00E2487B" w:rsidRPr="00543A65" w:rsidRDefault="00E2487B" w:rsidP="00E2487B">
      <w:pPr>
        <w:pStyle w:val="ListParagraph"/>
        <w:numPr>
          <w:ilvl w:val="1"/>
          <w:numId w:val="22"/>
        </w:numPr>
        <w:spacing w:after="0" w:line="240" w:lineRule="auto"/>
        <w:rPr>
          <w:highlight w:val="yellow"/>
          <w:lang w:val="fr-FR"/>
        </w:rPr>
      </w:pPr>
      <w:r w:rsidRPr="00543A65">
        <w:rPr>
          <w:highlight w:val="yellow"/>
          <w:lang w:val="fr-FR"/>
        </w:rPr>
        <w:t xml:space="preserve">Scalables et reproductibles dans divers contextes </w:t>
      </w:r>
      <w:proofErr w:type="spellStart"/>
      <w:r w:rsidRPr="00543A65">
        <w:rPr>
          <w:highlight w:val="yellow"/>
          <w:lang w:val="fr-FR"/>
        </w:rPr>
        <w:t>regionaux</w:t>
      </w:r>
      <w:proofErr w:type="spellEnd"/>
    </w:p>
    <w:p w14:paraId="1E3BA2C5" w14:textId="3289EF44" w:rsidR="00543A65" w:rsidRPr="00543A65" w:rsidRDefault="00E2487B" w:rsidP="00543A65">
      <w:pPr>
        <w:pStyle w:val="NormalWeb"/>
        <w:numPr>
          <w:ilvl w:val="0"/>
          <w:numId w:val="22"/>
        </w:numPr>
        <w:rPr>
          <w:rFonts w:asciiTheme="minorHAnsi" w:hAnsiTheme="minorHAnsi"/>
          <w:sz w:val="22"/>
          <w:szCs w:val="22"/>
          <w:highlight w:val="yellow"/>
          <w:lang w:val="fr-FR"/>
        </w:rPr>
      </w:pPr>
      <w:r w:rsidRPr="00543A65">
        <w:rPr>
          <w:rFonts w:asciiTheme="minorHAnsi" w:hAnsiTheme="minorHAnsi"/>
          <w:sz w:val="22"/>
          <w:szCs w:val="22"/>
          <w:highlight w:val="yellow"/>
          <w:lang w:val="fr-FR"/>
        </w:rPr>
        <w:t>L’étude doit identifier au moins trois produits finis viables issus des matières premières mentionnées dans la description du projet</w:t>
      </w:r>
      <w:r w:rsidR="00543A65" w:rsidRPr="00543A65">
        <w:rPr>
          <w:rFonts w:asciiTheme="minorHAnsi" w:hAnsiTheme="minorHAnsi"/>
          <w:sz w:val="22"/>
          <w:szCs w:val="22"/>
          <w:highlight w:val="yellow"/>
          <w:lang w:val="fr-FR"/>
        </w:rPr>
        <w:t xml:space="preserve"> (fibre de banane, textiles recyclés, déchets agricoles), qui </w:t>
      </w:r>
      <w:proofErr w:type="gramStart"/>
      <w:r w:rsidR="00543A65" w:rsidRPr="00543A65">
        <w:rPr>
          <w:rFonts w:asciiTheme="minorHAnsi" w:hAnsiTheme="minorHAnsi"/>
          <w:sz w:val="22"/>
          <w:szCs w:val="22"/>
          <w:highlight w:val="yellow"/>
          <w:lang w:val="fr-FR"/>
        </w:rPr>
        <w:t>soient:</w:t>
      </w:r>
      <w:proofErr w:type="gramEnd"/>
    </w:p>
    <w:p w14:paraId="70E02609" w14:textId="77777777" w:rsidR="00543A65" w:rsidRPr="00543A65" w:rsidRDefault="00543A65" w:rsidP="00543A65">
      <w:pPr>
        <w:pStyle w:val="NormalWeb"/>
        <w:numPr>
          <w:ilvl w:val="1"/>
          <w:numId w:val="22"/>
        </w:numPr>
        <w:rPr>
          <w:rFonts w:asciiTheme="minorHAnsi" w:hAnsiTheme="minorHAnsi"/>
          <w:sz w:val="22"/>
          <w:szCs w:val="22"/>
          <w:highlight w:val="yellow"/>
          <w:lang w:val="fr-FR"/>
        </w:rPr>
      </w:pPr>
      <w:r w:rsidRPr="00543A65">
        <w:rPr>
          <w:rFonts w:asciiTheme="minorHAnsi" w:hAnsiTheme="minorHAnsi"/>
          <w:sz w:val="22"/>
          <w:szCs w:val="22"/>
          <w:highlight w:val="yellow"/>
          <w:lang w:val="fr-FR"/>
        </w:rPr>
        <w:lastRenderedPageBreak/>
        <w:t>Simples et peu coûteux à produire</w:t>
      </w:r>
    </w:p>
    <w:p w14:paraId="62200DE2" w14:textId="77777777" w:rsidR="00543A65" w:rsidRPr="00543A65" w:rsidRDefault="00543A65" w:rsidP="00543A65">
      <w:pPr>
        <w:pStyle w:val="NormalWeb"/>
        <w:numPr>
          <w:ilvl w:val="1"/>
          <w:numId w:val="22"/>
        </w:numPr>
        <w:rPr>
          <w:rFonts w:asciiTheme="minorHAnsi" w:hAnsiTheme="minorHAnsi"/>
          <w:sz w:val="22"/>
          <w:szCs w:val="22"/>
          <w:highlight w:val="yellow"/>
          <w:lang w:val="fr-FR"/>
        </w:rPr>
      </w:pPr>
      <w:r w:rsidRPr="00543A65">
        <w:rPr>
          <w:rFonts w:asciiTheme="minorHAnsi" w:hAnsiTheme="minorHAnsi"/>
          <w:sz w:val="22"/>
          <w:szCs w:val="22"/>
          <w:highlight w:val="yellow"/>
          <w:lang w:val="fr-FR"/>
        </w:rPr>
        <w:t>Rentables sur les marchés locaux et/ou de la diaspora (à identifier)</w:t>
      </w:r>
    </w:p>
    <w:p w14:paraId="6707568D" w14:textId="73B3ABFD" w:rsidR="00E2487B" w:rsidRPr="00543A65" w:rsidRDefault="00543A65" w:rsidP="00543A65">
      <w:pPr>
        <w:pStyle w:val="NormalWeb"/>
        <w:numPr>
          <w:ilvl w:val="1"/>
          <w:numId w:val="22"/>
        </w:numPr>
        <w:rPr>
          <w:rFonts w:asciiTheme="minorHAnsi" w:hAnsiTheme="minorHAnsi"/>
          <w:sz w:val="22"/>
          <w:szCs w:val="22"/>
          <w:highlight w:val="yellow"/>
          <w:lang w:val="fr-FR"/>
        </w:rPr>
      </w:pPr>
      <w:r w:rsidRPr="00543A65">
        <w:rPr>
          <w:rFonts w:asciiTheme="minorHAnsi" w:hAnsiTheme="minorHAnsi"/>
          <w:sz w:val="22"/>
          <w:szCs w:val="22"/>
          <w:highlight w:val="yellow"/>
          <w:lang w:val="fr-FR"/>
        </w:rPr>
        <w:t>Adaptés à des besoins consommateurs non satisfaits</w:t>
      </w:r>
      <w:r>
        <w:rPr>
          <w:rFonts w:asciiTheme="minorHAnsi" w:hAnsiTheme="minorHAnsi"/>
          <w:sz w:val="22"/>
          <w:szCs w:val="22"/>
          <w:highlight w:val="yellow"/>
          <w:lang w:val="fr-FR"/>
        </w:rPr>
        <w:tab/>
      </w:r>
    </w:p>
    <w:p w14:paraId="439E2F9B" w14:textId="7B78DEC6" w:rsidR="00E2487B" w:rsidRDefault="00E2487B" w:rsidP="00E2487B">
      <w:pPr>
        <w:pStyle w:val="ListParagraph"/>
        <w:numPr>
          <w:ilvl w:val="0"/>
          <w:numId w:val="22"/>
        </w:numPr>
        <w:spacing w:after="0" w:line="240" w:lineRule="auto"/>
        <w:rPr>
          <w:highlight w:val="yellow"/>
          <w:lang w:val="fr-FR"/>
        </w:rPr>
      </w:pPr>
      <w:r w:rsidRPr="00E2487B">
        <w:rPr>
          <w:highlight w:val="yellow"/>
          <w:lang w:val="fr-FR"/>
        </w:rPr>
        <w:t xml:space="preserve">Clarifier quels segments de consommateurs </w:t>
      </w:r>
      <w:proofErr w:type="gramStart"/>
      <w:r w:rsidRPr="00E2487B">
        <w:rPr>
          <w:highlight w:val="yellow"/>
          <w:lang w:val="fr-FR"/>
        </w:rPr>
        <w:t>conviennent</w:t>
      </w:r>
      <w:proofErr w:type="gramEnd"/>
      <w:r w:rsidRPr="00E2487B">
        <w:rPr>
          <w:highlight w:val="yellow"/>
          <w:lang w:val="fr-FR"/>
        </w:rPr>
        <w:t xml:space="preserve"> à quels types de produits.</w:t>
      </w:r>
    </w:p>
    <w:p w14:paraId="148C0D66" w14:textId="296FFA5D" w:rsidR="00543A65" w:rsidRPr="00543A65" w:rsidRDefault="00543A65" w:rsidP="00543A65">
      <w:pPr>
        <w:pStyle w:val="ListParagraph"/>
        <w:numPr>
          <w:ilvl w:val="1"/>
          <w:numId w:val="22"/>
        </w:numPr>
        <w:spacing w:after="0"/>
        <w:rPr>
          <w:highlight w:val="yellow"/>
          <w:lang w:val="fr-FR"/>
        </w:rPr>
      </w:pPr>
      <w:r w:rsidRPr="00543A65">
        <w:rPr>
          <w:highlight w:val="yellow"/>
          <w:lang w:val="fr-FR"/>
        </w:rPr>
        <w:t>Produits à coût élevé ou de qualité supérieure → cibler les consommateurs de la diaspora prêts à payer un supplément pour des produits écologiques dirigés par des jeunes ;</w:t>
      </w:r>
    </w:p>
    <w:p w14:paraId="1D90EFCD" w14:textId="544F48D1" w:rsidR="00543A65" w:rsidRPr="00543A65" w:rsidRDefault="00543A65" w:rsidP="00543A65">
      <w:pPr>
        <w:pStyle w:val="ListParagraph"/>
        <w:numPr>
          <w:ilvl w:val="1"/>
          <w:numId w:val="22"/>
        </w:numPr>
        <w:spacing w:after="0"/>
        <w:rPr>
          <w:highlight w:val="yellow"/>
          <w:lang w:val="fr-FR"/>
        </w:rPr>
      </w:pPr>
      <w:r w:rsidRPr="00543A65">
        <w:rPr>
          <w:highlight w:val="yellow"/>
          <w:lang w:val="fr-FR"/>
        </w:rPr>
        <w:t>Produits à bas coût et à forte demande → cibler les consommateurs haïtiens locaux pour favoriser l’adoption et générer des revenus réguliers</w:t>
      </w:r>
    </w:p>
    <w:p w14:paraId="269533F6" w14:textId="77777777" w:rsidR="00E2487B" w:rsidRPr="00E2487B" w:rsidRDefault="00E2487B" w:rsidP="00E2487B">
      <w:pPr>
        <w:spacing w:after="0" w:line="240" w:lineRule="auto"/>
        <w:ind w:firstLine="720"/>
        <w:rPr>
          <w:highlight w:val="yellow"/>
          <w:lang w:val="fr-FR"/>
        </w:rPr>
      </w:pPr>
      <w:r w:rsidRPr="00E2487B">
        <w:rPr>
          <w:rFonts w:ascii="Segoe UI Symbol" w:hAnsi="Segoe UI Symbol" w:cs="Segoe UI Symbol"/>
          <w:highlight w:val="yellow"/>
          <w:lang w:val="fr-FR"/>
        </w:rPr>
        <w:t>➤</w:t>
      </w:r>
      <w:r w:rsidRPr="00E2487B">
        <w:rPr>
          <w:highlight w:val="yellow"/>
          <w:lang w:val="fr-FR"/>
        </w:rPr>
        <w:t xml:space="preserve"> Stratégies de marketing et de communication :</w:t>
      </w:r>
    </w:p>
    <w:p w14:paraId="1E18E23B" w14:textId="10C4A7B2" w:rsidR="00E2487B" w:rsidRDefault="00E2487B" w:rsidP="00E2487B">
      <w:pPr>
        <w:pStyle w:val="ListParagraph"/>
        <w:numPr>
          <w:ilvl w:val="1"/>
          <w:numId w:val="12"/>
        </w:numPr>
        <w:spacing w:after="0" w:line="240" w:lineRule="auto"/>
        <w:rPr>
          <w:highlight w:val="yellow"/>
          <w:lang w:val="fr-FR"/>
        </w:rPr>
      </w:pPr>
      <w:r w:rsidRPr="00E2487B">
        <w:rPr>
          <w:highlight w:val="yellow"/>
          <w:lang w:val="fr-FR"/>
        </w:rPr>
        <w:t xml:space="preserve">Marketing </w:t>
      </w:r>
      <w:proofErr w:type="gramStart"/>
      <w:r w:rsidRPr="00E2487B">
        <w:rPr>
          <w:highlight w:val="yellow"/>
          <w:lang w:val="fr-FR"/>
        </w:rPr>
        <w:t>local:</w:t>
      </w:r>
      <w:proofErr w:type="gramEnd"/>
      <w:r w:rsidRPr="00E2487B">
        <w:rPr>
          <w:highlight w:val="yellow"/>
          <w:lang w:val="fr-FR"/>
        </w:rPr>
        <w:t xml:space="preserve"> sensibilisation communautaire, radios locales, messages WhatsApp, promotion via les écoles ou les églises</w:t>
      </w:r>
    </w:p>
    <w:p w14:paraId="3DFE6092" w14:textId="7CC79C50" w:rsidR="00E2487B" w:rsidRDefault="00E2487B" w:rsidP="00E2487B">
      <w:pPr>
        <w:pStyle w:val="ListParagraph"/>
        <w:numPr>
          <w:ilvl w:val="1"/>
          <w:numId w:val="12"/>
        </w:numPr>
        <w:spacing w:after="0" w:line="240" w:lineRule="auto"/>
        <w:rPr>
          <w:highlight w:val="yellow"/>
          <w:lang w:val="fr-FR"/>
        </w:rPr>
      </w:pPr>
      <w:r w:rsidRPr="00E2487B">
        <w:rPr>
          <w:highlight w:val="yellow"/>
          <w:lang w:val="fr-FR"/>
        </w:rPr>
        <w:t xml:space="preserve">Engagement de la </w:t>
      </w:r>
      <w:proofErr w:type="gramStart"/>
      <w:r w:rsidRPr="00E2487B">
        <w:rPr>
          <w:highlight w:val="yellow"/>
          <w:lang w:val="fr-FR"/>
        </w:rPr>
        <w:t>diaspora:</w:t>
      </w:r>
      <w:proofErr w:type="gramEnd"/>
      <w:r w:rsidRPr="00E2487B">
        <w:rPr>
          <w:highlight w:val="yellow"/>
          <w:lang w:val="fr-FR"/>
        </w:rPr>
        <w:t xml:space="preserve"> narration via les réseaux sociaux, influenceurs, et plateformes en ligne</w:t>
      </w:r>
    </w:p>
    <w:p w14:paraId="147A023C" w14:textId="534442E8" w:rsidR="00E2487B" w:rsidRDefault="00E2487B" w:rsidP="00E2487B">
      <w:pPr>
        <w:pStyle w:val="ListParagraph"/>
        <w:numPr>
          <w:ilvl w:val="1"/>
          <w:numId w:val="12"/>
        </w:numPr>
        <w:spacing w:after="0" w:line="240" w:lineRule="auto"/>
        <w:rPr>
          <w:highlight w:val="yellow"/>
          <w:lang w:val="fr-FR"/>
        </w:rPr>
      </w:pPr>
      <w:r w:rsidRPr="00E2487B">
        <w:rPr>
          <w:highlight w:val="yellow"/>
          <w:lang w:val="fr-FR"/>
        </w:rPr>
        <w:t xml:space="preserve">Focus </w:t>
      </w:r>
      <w:proofErr w:type="gramStart"/>
      <w:r w:rsidRPr="00E2487B">
        <w:rPr>
          <w:highlight w:val="yellow"/>
          <w:lang w:val="fr-FR"/>
        </w:rPr>
        <w:t>communicationnel:</w:t>
      </w:r>
      <w:proofErr w:type="gramEnd"/>
      <w:r w:rsidRPr="00E2487B">
        <w:rPr>
          <w:highlight w:val="yellow"/>
          <w:lang w:val="fr-FR"/>
        </w:rPr>
        <w:t xml:space="preserve"> mettre en avant la mission écologique et dirigée par les jeunes pour instaurer la confiance et la fidélité</w:t>
      </w:r>
    </w:p>
    <w:p w14:paraId="44F7385D" w14:textId="27B4844D" w:rsidR="00E2487B" w:rsidRPr="00E2487B" w:rsidRDefault="00E2487B" w:rsidP="00E2487B">
      <w:pPr>
        <w:pStyle w:val="ListParagraph"/>
        <w:numPr>
          <w:ilvl w:val="1"/>
          <w:numId w:val="12"/>
        </w:numPr>
        <w:spacing w:after="0" w:line="240" w:lineRule="auto"/>
        <w:rPr>
          <w:highlight w:val="yellow"/>
          <w:lang w:val="fr-FR"/>
        </w:rPr>
      </w:pPr>
      <w:r w:rsidRPr="00E2487B">
        <w:rPr>
          <w:highlight w:val="yellow"/>
          <w:lang w:val="fr-FR"/>
        </w:rPr>
        <w:t xml:space="preserve">Canaux de </w:t>
      </w:r>
      <w:proofErr w:type="gramStart"/>
      <w:r w:rsidRPr="00E2487B">
        <w:rPr>
          <w:highlight w:val="yellow"/>
          <w:lang w:val="fr-FR"/>
        </w:rPr>
        <w:t>vente:</w:t>
      </w:r>
      <w:proofErr w:type="gramEnd"/>
      <w:r w:rsidRPr="00E2487B">
        <w:rPr>
          <w:highlight w:val="yellow"/>
          <w:lang w:val="fr-FR"/>
        </w:rPr>
        <w:t xml:space="preserve"> explorer des options à faible coût comme les marchés, les pop-ups et les boutiques en ligne</w:t>
      </w:r>
    </w:p>
    <w:p w14:paraId="67482E9E" w14:textId="5B3A1303" w:rsidR="0091563B" w:rsidRPr="0091563B" w:rsidRDefault="0091563B" w:rsidP="00E2487B">
      <w:pPr>
        <w:spacing w:after="0" w:line="240" w:lineRule="auto"/>
        <w:ind w:left="720"/>
        <w:jc w:val="both"/>
        <w:rPr>
          <w:lang w:val="fr-FR"/>
        </w:rPr>
      </w:pPr>
    </w:p>
    <w:p w14:paraId="5731518B" w14:textId="77777777" w:rsidR="0091563B" w:rsidRPr="00E71C94" w:rsidRDefault="0091563B" w:rsidP="0091563B">
      <w:pPr>
        <w:jc w:val="both"/>
        <w:rPr>
          <w:b/>
          <w:bCs/>
          <w:sz w:val="25"/>
          <w:szCs w:val="25"/>
          <w:lang w:val="fr-FR"/>
        </w:rPr>
      </w:pPr>
      <w:r>
        <w:rPr>
          <w:b/>
          <w:bCs/>
          <w:sz w:val="25"/>
          <w:szCs w:val="25"/>
          <w:lang w:val="fr-FR"/>
        </w:rPr>
        <w:t>Durée de l’étude</w:t>
      </w:r>
    </w:p>
    <w:p w14:paraId="1A121BCA" w14:textId="77777777" w:rsidR="0091563B" w:rsidRPr="00832D2B" w:rsidRDefault="0091563B" w:rsidP="0091563B">
      <w:pPr>
        <w:jc w:val="both"/>
        <w:rPr>
          <w:highlight w:val="yellow"/>
          <w:lang w:val="fr-FR"/>
        </w:rPr>
      </w:pPr>
      <w:r w:rsidRPr="00832D2B">
        <w:rPr>
          <w:highlight w:val="yellow"/>
          <w:lang w:val="fr-FR"/>
        </w:rPr>
        <w:t>La mission s’étendra sur 60 jours calendaires à partir de la signature du contrat.</w:t>
      </w:r>
    </w:p>
    <w:sectPr w:rsidR="0091563B" w:rsidRPr="00832D2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FBE0F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547DA"/>
    <w:multiLevelType w:val="hybridMultilevel"/>
    <w:tmpl w:val="8AF2CB06"/>
    <w:lvl w:ilvl="0" w:tplc="B3EAA60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8E1E44"/>
    <w:multiLevelType w:val="hybridMultilevel"/>
    <w:tmpl w:val="A82A0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57998"/>
    <w:multiLevelType w:val="hybridMultilevel"/>
    <w:tmpl w:val="FCDE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C4D00"/>
    <w:multiLevelType w:val="hybridMultilevel"/>
    <w:tmpl w:val="759442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363E1C"/>
    <w:multiLevelType w:val="multilevel"/>
    <w:tmpl w:val="DCAA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F7828"/>
    <w:multiLevelType w:val="hybridMultilevel"/>
    <w:tmpl w:val="A2FC1B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F263B8"/>
    <w:multiLevelType w:val="hybridMultilevel"/>
    <w:tmpl w:val="C322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F43D2"/>
    <w:multiLevelType w:val="hybridMultilevel"/>
    <w:tmpl w:val="1EAE5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032430"/>
    <w:multiLevelType w:val="hybridMultilevel"/>
    <w:tmpl w:val="DF5C79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047AED"/>
    <w:multiLevelType w:val="hybridMultilevel"/>
    <w:tmpl w:val="5024F4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E2351B"/>
    <w:multiLevelType w:val="multilevel"/>
    <w:tmpl w:val="53B4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78016D"/>
    <w:multiLevelType w:val="multilevel"/>
    <w:tmpl w:val="D4E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F1C30"/>
    <w:multiLevelType w:val="hybridMultilevel"/>
    <w:tmpl w:val="32B6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195A"/>
    <w:multiLevelType w:val="hybridMultilevel"/>
    <w:tmpl w:val="865AAB1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C256B23"/>
    <w:multiLevelType w:val="hybridMultilevel"/>
    <w:tmpl w:val="BB96F8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095027">
    <w:abstractNumId w:val="8"/>
  </w:num>
  <w:num w:numId="2" w16cid:durableId="2029061536">
    <w:abstractNumId w:val="6"/>
  </w:num>
  <w:num w:numId="3" w16cid:durableId="130369353">
    <w:abstractNumId w:val="5"/>
  </w:num>
  <w:num w:numId="4" w16cid:durableId="1938714152">
    <w:abstractNumId w:val="4"/>
  </w:num>
  <w:num w:numId="5" w16cid:durableId="663362329">
    <w:abstractNumId w:val="7"/>
  </w:num>
  <w:num w:numId="6" w16cid:durableId="668144556">
    <w:abstractNumId w:val="3"/>
  </w:num>
  <w:num w:numId="7" w16cid:durableId="1881552179">
    <w:abstractNumId w:val="2"/>
  </w:num>
  <w:num w:numId="8" w16cid:durableId="899942992">
    <w:abstractNumId w:val="1"/>
  </w:num>
  <w:num w:numId="9" w16cid:durableId="795566554">
    <w:abstractNumId w:val="0"/>
  </w:num>
  <w:num w:numId="10" w16cid:durableId="1059400925">
    <w:abstractNumId w:val="15"/>
  </w:num>
  <w:num w:numId="11" w16cid:durableId="166294025">
    <w:abstractNumId w:val="21"/>
  </w:num>
  <w:num w:numId="12" w16cid:durableId="540747883">
    <w:abstractNumId w:val="11"/>
  </w:num>
  <w:num w:numId="13" w16cid:durableId="534971498">
    <w:abstractNumId w:val="13"/>
  </w:num>
  <w:num w:numId="14" w16cid:durableId="432020215">
    <w:abstractNumId w:val="19"/>
  </w:num>
  <w:num w:numId="15" w16cid:durableId="1989239768">
    <w:abstractNumId w:val="16"/>
  </w:num>
  <w:num w:numId="16" w16cid:durableId="2093894299">
    <w:abstractNumId w:val="18"/>
  </w:num>
  <w:num w:numId="17" w16cid:durableId="729503636">
    <w:abstractNumId w:val="12"/>
  </w:num>
  <w:num w:numId="18" w16cid:durableId="972519471">
    <w:abstractNumId w:val="22"/>
  </w:num>
  <w:num w:numId="19" w16cid:durableId="506483730">
    <w:abstractNumId w:val="10"/>
  </w:num>
  <w:num w:numId="20" w16cid:durableId="1407073320">
    <w:abstractNumId w:val="23"/>
  </w:num>
  <w:num w:numId="21" w16cid:durableId="1127625866">
    <w:abstractNumId w:val="17"/>
  </w:num>
  <w:num w:numId="22" w16cid:durableId="1036664907">
    <w:abstractNumId w:val="14"/>
  </w:num>
  <w:num w:numId="23" w16cid:durableId="1885823187">
    <w:abstractNumId w:val="20"/>
  </w:num>
  <w:num w:numId="24" w16cid:durableId="1739358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6559"/>
    <w:rsid w:val="00093075"/>
    <w:rsid w:val="0015074B"/>
    <w:rsid w:val="0016494F"/>
    <w:rsid w:val="001B07E7"/>
    <w:rsid w:val="00217477"/>
    <w:rsid w:val="0028633F"/>
    <w:rsid w:val="0029639D"/>
    <w:rsid w:val="002B395A"/>
    <w:rsid w:val="0032415A"/>
    <w:rsid w:val="00326F90"/>
    <w:rsid w:val="00362773"/>
    <w:rsid w:val="003A2D8C"/>
    <w:rsid w:val="003B6BDD"/>
    <w:rsid w:val="003E700B"/>
    <w:rsid w:val="0040711F"/>
    <w:rsid w:val="004538C0"/>
    <w:rsid w:val="00543A65"/>
    <w:rsid w:val="00545090"/>
    <w:rsid w:val="00571CA1"/>
    <w:rsid w:val="00596049"/>
    <w:rsid w:val="005E007C"/>
    <w:rsid w:val="006021CE"/>
    <w:rsid w:val="006313B8"/>
    <w:rsid w:val="006641B7"/>
    <w:rsid w:val="006A4EA0"/>
    <w:rsid w:val="006C3CB9"/>
    <w:rsid w:val="006D14A8"/>
    <w:rsid w:val="006D355B"/>
    <w:rsid w:val="006E274F"/>
    <w:rsid w:val="006F492B"/>
    <w:rsid w:val="00714E84"/>
    <w:rsid w:val="00757EDC"/>
    <w:rsid w:val="00762993"/>
    <w:rsid w:val="00763B05"/>
    <w:rsid w:val="00783C16"/>
    <w:rsid w:val="007D14F5"/>
    <w:rsid w:val="007D4130"/>
    <w:rsid w:val="007F423F"/>
    <w:rsid w:val="00876996"/>
    <w:rsid w:val="008E3A36"/>
    <w:rsid w:val="0091563B"/>
    <w:rsid w:val="009536AE"/>
    <w:rsid w:val="009E4663"/>
    <w:rsid w:val="00A14157"/>
    <w:rsid w:val="00A16015"/>
    <w:rsid w:val="00A510B9"/>
    <w:rsid w:val="00A54950"/>
    <w:rsid w:val="00A60B05"/>
    <w:rsid w:val="00AA1D8D"/>
    <w:rsid w:val="00B373D3"/>
    <w:rsid w:val="00B4043F"/>
    <w:rsid w:val="00B46876"/>
    <w:rsid w:val="00B47730"/>
    <w:rsid w:val="00B91E0A"/>
    <w:rsid w:val="00BA3954"/>
    <w:rsid w:val="00BC4143"/>
    <w:rsid w:val="00BC54EB"/>
    <w:rsid w:val="00BF6C78"/>
    <w:rsid w:val="00C06F23"/>
    <w:rsid w:val="00C1455D"/>
    <w:rsid w:val="00C5296F"/>
    <w:rsid w:val="00C62B1E"/>
    <w:rsid w:val="00CB0664"/>
    <w:rsid w:val="00D04E62"/>
    <w:rsid w:val="00D52241"/>
    <w:rsid w:val="00D95EEE"/>
    <w:rsid w:val="00DA2424"/>
    <w:rsid w:val="00DE2672"/>
    <w:rsid w:val="00E10D84"/>
    <w:rsid w:val="00E110B3"/>
    <w:rsid w:val="00E22307"/>
    <w:rsid w:val="00E2487B"/>
    <w:rsid w:val="00E675E8"/>
    <w:rsid w:val="00E9406C"/>
    <w:rsid w:val="00EB2358"/>
    <w:rsid w:val="00EC379C"/>
    <w:rsid w:val="00ED060C"/>
    <w:rsid w:val="00F76458"/>
    <w:rsid w:val="00F868DA"/>
    <w:rsid w:val="00FC693F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67C3"/>
  <w14:defaultImageDpi w14:val="300"/>
  <w15:docId w15:val="{05360171-3AC3-574F-901C-D66076E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87B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156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Daniella Weckering</cp:lastModifiedBy>
  <cp:revision>66</cp:revision>
  <cp:lastPrinted>2025-08-18T14:56:00Z</cp:lastPrinted>
  <dcterms:created xsi:type="dcterms:W3CDTF">2025-08-01T21:09:00Z</dcterms:created>
  <dcterms:modified xsi:type="dcterms:W3CDTF">2025-08-18T15:26:00Z</dcterms:modified>
  <cp:category/>
</cp:coreProperties>
</file>