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783" w:rsidRDefault="00D3387E">
      <w:pPr>
        <w:pStyle w:val="Heading1"/>
        <w:jc w:val="center"/>
      </w:pPr>
      <w:bookmarkStart w:id="0" w:name="_xhkdv7xji34u" w:colFirst="0" w:colLast="0"/>
      <w:bookmarkEnd w:id="0"/>
      <w:r>
        <w:t>TERMES DE RÉFÉRENCE</w:t>
      </w:r>
    </w:p>
    <w:p w:rsidR="009C3783" w:rsidRDefault="00D3387E">
      <w:pPr>
        <w:spacing w:after="120"/>
        <w:jc w:val="center"/>
        <w:rPr>
          <w:sz w:val="28"/>
          <w:szCs w:val="28"/>
        </w:rPr>
      </w:pPr>
      <w:r>
        <w:rPr>
          <w:b/>
          <w:sz w:val="28"/>
          <w:szCs w:val="28"/>
        </w:rPr>
        <w:t>Achat de services de consultation technique</w:t>
      </w:r>
    </w:p>
    <w:p w:rsidR="009C3783" w:rsidRDefault="00D3387E">
      <w:pPr>
        <w:spacing w:after="120"/>
        <w:jc w:val="center"/>
        <w:rPr>
          <w:sz w:val="28"/>
          <w:szCs w:val="28"/>
        </w:rPr>
      </w:pPr>
      <w:r>
        <w:rPr>
          <w:b/>
          <w:sz w:val="28"/>
          <w:szCs w:val="28"/>
        </w:rPr>
        <w:t>Elaboration rapport REDES 2025</w:t>
      </w:r>
    </w:p>
    <w:p w:rsidR="009C3783" w:rsidRDefault="009C3783">
      <w:pPr>
        <w:spacing w:after="120"/>
      </w:pPr>
    </w:p>
    <w:p w:rsidR="009C3783" w:rsidRPr="002A7199" w:rsidRDefault="00D3387E">
      <w:pPr>
        <w:numPr>
          <w:ilvl w:val="0"/>
          <w:numId w:val="7"/>
        </w:numPr>
        <w:spacing w:after="120"/>
      </w:pPr>
      <w:r w:rsidRPr="002A7199">
        <w:rPr>
          <w:b/>
        </w:rPr>
        <w:t>Brève mise en contexte</w:t>
      </w:r>
      <w:bookmarkStart w:id="1" w:name="_GoBack"/>
      <w:bookmarkEnd w:id="1"/>
    </w:p>
    <w:p w:rsidR="009C3783" w:rsidRPr="002A7199" w:rsidRDefault="00D3387E">
      <w:pPr>
        <w:spacing w:after="120"/>
        <w:jc w:val="both"/>
      </w:pPr>
      <w:r w:rsidRPr="002A7199">
        <w:t xml:space="preserve">Le Plan Stratégique National Multisectoriel 2018-2023 (PSNM 2018 – 2023) qui a été mis à jour en 2024, maintient Haïti sur la voie accélérée de la riposte face à l’épidémie au VIH. Ce plan indique que la pérennité d’un flux de ressources pour le VIH/Sida est l’un des facteurs qui continueront à conditionner la réussite du Programme de lutte contre le VIH/Sida en Haïti  et  fragiliser la </w:t>
      </w:r>
      <w:proofErr w:type="gramStart"/>
      <w:r w:rsidRPr="002A7199">
        <w:t>riposte .</w:t>
      </w:r>
      <w:proofErr w:type="gramEnd"/>
    </w:p>
    <w:p w:rsidR="009C3783" w:rsidRPr="002A7199" w:rsidRDefault="00D3387E">
      <w:pPr>
        <w:spacing w:after="120"/>
        <w:jc w:val="both"/>
      </w:pPr>
      <w:r w:rsidRPr="002A7199">
        <w:t xml:space="preserve">Ce plan vise 5 impacts majeurs: </w:t>
      </w:r>
    </w:p>
    <w:p w:rsidR="009C3783" w:rsidRPr="002A7199" w:rsidRDefault="00D3387E">
      <w:pPr>
        <w:numPr>
          <w:ilvl w:val="0"/>
          <w:numId w:val="8"/>
        </w:numPr>
        <w:spacing w:after="120"/>
        <w:jc w:val="both"/>
      </w:pPr>
      <w:r w:rsidRPr="002A7199">
        <w:t>La réduction de la proportion des nouvelles infections dans la population ;</w:t>
      </w:r>
    </w:p>
    <w:p w:rsidR="009C3783" w:rsidRPr="002A7199" w:rsidRDefault="00D3387E">
      <w:pPr>
        <w:numPr>
          <w:ilvl w:val="0"/>
          <w:numId w:val="8"/>
        </w:numPr>
        <w:spacing w:after="120"/>
        <w:jc w:val="both"/>
      </w:pPr>
      <w:r w:rsidRPr="002A7199">
        <w:t>La réduction de la proportion de nourrissons nés de mères vivant avec le VIH ;</w:t>
      </w:r>
    </w:p>
    <w:p w:rsidR="009C3783" w:rsidRPr="002A7199" w:rsidRDefault="00D3387E">
      <w:pPr>
        <w:numPr>
          <w:ilvl w:val="0"/>
          <w:numId w:val="8"/>
        </w:numPr>
        <w:spacing w:after="120"/>
        <w:jc w:val="both"/>
      </w:pPr>
      <w:r w:rsidRPr="002A7199">
        <w:t>L’augmentation du taux de survie des adultes et enfants vivant avec le VIH sous Antirétroviraux (ARV) 12 mois après l’initiation au traitement antirétroviral ;</w:t>
      </w:r>
    </w:p>
    <w:p w:rsidR="009C3783" w:rsidRPr="002A7199" w:rsidRDefault="00D3387E">
      <w:pPr>
        <w:numPr>
          <w:ilvl w:val="0"/>
          <w:numId w:val="8"/>
        </w:numPr>
        <w:spacing w:after="120"/>
        <w:jc w:val="both"/>
      </w:pPr>
      <w:r w:rsidRPr="002A7199">
        <w:t>La réduction de la Stigmatisation et de la Discrimination ;</w:t>
      </w:r>
    </w:p>
    <w:p w:rsidR="009C3783" w:rsidRPr="002A7199" w:rsidRDefault="00D3387E">
      <w:pPr>
        <w:numPr>
          <w:ilvl w:val="0"/>
          <w:numId w:val="8"/>
        </w:numPr>
        <w:spacing w:after="120"/>
        <w:jc w:val="both"/>
      </w:pPr>
      <w:r w:rsidRPr="002A7199">
        <w:t xml:space="preserve">Et le renforcement du système de santé.  </w:t>
      </w:r>
    </w:p>
    <w:p w:rsidR="009C3783" w:rsidRPr="002A7199" w:rsidRDefault="009C3783">
      <w:pPr>
        <w:spacing w:after="120"/>
        <w:ind w:left="720"/>
        <w:jc w:val="both"/>
      </w:pPr>
    </w:p>
    <w:p w:rsidR="009C3783" w:rsidRPr="002A7199" w:rsidRDefault="00D3387E">
      <w:pPr>
        <w:spacing w:after="120"/>
        <w:jc w:val="both"/>
      </w:pPr>
      <w:r w:rsidRPr="002A7199">
        <w:t xml:space="preserve">Pour apprécier l’impact des interventions il demeure important d' en contrôler le flux financier , un processus de suivi permettant d'appréhender les transactions financières depuis leur origine jusqu'à leur destination finale à savoir des bénéficiaires des biens et des services .L’estimation nationale et dépenses relatives au VIH/Sida n’est pas exclusivement réservé au suivi des </w:t>
      </w:r>
      <w:proofErr w:type="spellStart"/>
      <w:r w:rsidRPr="002A7199">
        <w:t>depenses</w:t>
      </w:r>
      <w:proofErr w:type="spellEnd"/>
      <w:r w:rsidRPr="002A7199">
        <w:t xml:space="preserve"> de sante mais elle permet également de suivre les dépenses réalisées par d’autres secteurs de la société civile  dans le cadre de la </w:t>
      </w:r>
      <w:proofErr w:type="spellStart"/>
      <w:r w:rsidRPr="002A7199">
        <w:t>multisectorialité</w:t>
      </w:r>
      <w:proofErr w:type="spellEnd"/>
      <w:r w:rsidRPr="002A7199">
        <w:t>.</w:t>
      </w:r>
    </w:p>
    <w:p w:rsidR="009C3783" w:rsidRPr="002A7199" w:rsidRDefault="00D3387E">
      <w:pPr>
        <w:spacing w:after="120"/>
        <w:jc w:val="both"/>
      </w:pPr>
      <w:r w:rsidRPr="002A7199">
        <w:t xml:space="preserve"> Il s'avère  important d'élaborer le rapport sur les Ressources et Dépenses annuellement  afin d’évaluer le niveau de financement réel pour pouvoir anticiper à temps et prendre les bonnes décisions en rapport au maintien de l’accélération à un niveau satisfaisant de performance. </w:t>
      </w:r>
    </w:p>
    <w:p w:rsidR="009C3783" w:rsidRPr="002A7199" w:rsidRDefault="009C3783">
      <w:pPr>
        <w:spacing w:after="120"/>
        <w:jc w:val="both"/>
      </w:pPr>
    </w:p>
    <w:p w:rsidR="009C3783" w:rsidRPr="002A7199" w:rsidRDefault="00D3387E">
      <w:pPr>
        <w:spacing w:after="120"/>
        <w:jc w:val="both"/>
      </w:pPr>
      <w:r w:rsidRPr="002A7199">
        <w:t xml:space="preserve">A l’instar d’autres pays de la </w:t>
      </w:r>
      <w:proofErr w:type="gramStart"/>
      <w:r w:rsidRPr="002A7199">
        <w:t>région ,</w:t>
      </w:r>
      <w:proofErr w:type="gramEnd"/>
      <w:r w:rsidRPr="002A7199">
        <w:t xml:space="preserve"> Haïti s’engage à soumettre à l’ONUSIDA Chaque année, un rapport sur le flux des Ressources et des Dépenses “R</w:t>
      </w:r>
      <w:r w:rsidRPr="002A7199">
        <w:rPr>
          <w:b/>
        </w:rPr>
        <w:t>EDES”</w:t>
      </w:r>
      <w:r w:rsidRPr="002A7199">
        <w:t xml:space="preserve">  liées au VIH/Sida au cours d’une période donnée. Ce rapport  vient en complément au  rapport de l’évolution de la Riposte Global AIDS Monitoring  “GAM” qui est élaboré à la même </w:t>
      </w:r>
      <w:proofErr w:type="gramStart"/>
      <w:r w:rsidRPr="002A7199">
        <w:t>période .</w:t>
      </w:r>
      <w:proofErr w:type="gramEnd"/>
      <w:r w:rsidRPr="002A7199">
        <w:t xml:space="preserve"> Cependant compte tenu de la situation  conjoncturelle qui perdure depuis plus de trois ans, les rapports de 2022, 2023 n’ont pas été produits dans le délai imparti. Donc, l’élaboration du rapport de 2025 est l’occasion favorable pour prendre en compte toutes les ressources mobilisées et les dépenses encourues au cours de ces 3 dernières années relatives aux interventions de lutte contre le VIH/Sida en Haïti. </w:t>
      </w:r>
      <w:r w:rsidRPr="002A7199">
        <w:lastRenderedPageBreak/>
        <w:t xml:space="preserve">Ce rapport prendra en compte également toutes les conditions critiques et surcharge encourue en raison du contexte sociopolitique qui ont une répercussion et un impact négatif sur les interventions  planifiées se rapportant à la  performance et </w:t>
      </w:r>
      <w:proofErr w:type="spellStart"/>
      <w:proofErr w:type="gramStart"/>
      <w:r w:rsidRPr="002A7199">
        <w:t>a</w:t>
      </w:r>
      <w:proofErr w:type="spellEnd"/>
      <w:proofErr w:type="gramEnd"/>
      <w:r w:rsidRPr="002A7199">
        <w:t xml:space="preserve"> la riposte au   Programme National. </w:t>
      </w:r>
    </w:p>
    <w:p w:rsidR="009C3783" w:rsidRPr="002A7199" w:rsidRDefault="009C3783">
      <w:pPr>
        <w:spacing w:after="120"/>
        <w:jc w:val="both"/>
      </w:pPr>
    </w:p>
    <w:p w:rsidR="009C3783" w:rsidRPr="002A7199" w:rsidRDefault="009C3783">
      <w:pPr>
        <w:spacing w:after="120"/>
        <w:jc w:val="both"/>
      </w:pPr>
    </w:p>
    <w:p w:rsidR="009C3783" w:rsidRPr="002A7199" w:rsidRDefault="00D3387E">
      <w:pPr>
        <w:numPr>
          <w:ilvl w:val="0"/>
          <w:numId w:val="7"/>
        </w:numPr>
        <w:spacing w:after="120"/>
      </w:pPr>
      <w:r w:rsidRPr="002A7199">
        <w:rPr>
          <w:b/>
        </w:rPr>
        <w:t xml:space="preserve">But de cette consultation technique </w:t>
      </w:r>
    </w:p>
    <w:p w:rsidR="009C3783" w:rsidRPr="002A7199" w:rsidRDefault="00D3387E">
      <w:pPr>
        <w:spacing w:after="120"/>
        <w:jc w:val="both"/>
      </w:pPr>
      <w:r w:rsidRPr="002A7199">
        <w:t>Elaborer le rapport REDES 2025, selon les directives de l’ONUSIDA et l’utilisation du guide et outils NASA expliquées dans le document NASA Notebook qu’on retrouvera  sur le site web de l’ONUSIDA. Ce rapport doit contenir des informations de qualité sur les dépenses et l’exécution des budgets en VIH/Sida, en particulier sur l’indicateur « dépenses intérieures et internationales pour la lutte contre le Sida par catégorie et les sources de financement » pour les années 2022, 2023 et 2024.</w:t>
      </w:r>
    </w:p>
    <w:p w:rsidR="009C3783" w:rsidRPr="002A7199" w:rsidRDefault="009C3783">
      <w:pPr>
        <w:spacing w:after="120"/>
      </w:pPr>
    </w:p>
    <w:p w:rsidR="009C3783" w:rsidRPr="002A7199" w:rsidRDefault="00D3387E">
      <w:pPr>
        <w:numPr>
          <w:ilvl w:val="0"/>
          <w:numId w:val="7"/>
        </w:numPr>
        <w:spacing w:after="120"/>
      </w:pPr>
      <w:r w:rsidRPr="002A7199">
        <w:rPr>
          <w:b/>
        </w:rPr>
        <w:t>Objectifs de l’élaboration REDES 2025</w:t>
      </w:r>
    </w:p>
    <w:p w:rsidR="009C3783" w:rsidRPr="002A7199" w:rsidRDefault="00D3387E">
      <w:pPr>
        <w:numPr>
          <w:ilvl w:val="0"/>
          <w:numId w:val="1"/>
        </w:numPr>
        <w:pBdr>
          <w:top w:val="nil"/>
          <w:left w:val="nil"/>
          <w:bottom w:val="nil"/>
          <w:right w:val="nil"/>
          <w:between w:val="nil"/>
        </w:pBdr>
        <w:jc w:val="both"/>
      </w:pPr>
      <w:r w:rsidRPr="002A7199">
        <w:t>Examiner les flux financiers liés à la riposte nationale face à l’épidémie au VIH  pour les années 2022, 2023 et 2024;</w:t>
      </w:r>
    </w:p>
    <w:p w:rsidR="009C3783" w:rsidRPr="002A7199" w:rsidRDefault="00D3387E">
      <w:pPr>
        <w:numPr>
          <w:ilvl w:val="0"/>
          <w:numId w:val="1"/>
        </w:numPr>
        <w:pBdr>
          <w:top w:val="nil"/>
          <w:left w:val="nil"/>
          <w:bottom w:val="nil"/>
          <w:right w:val="nil"/>
          <w:between w:val="nil"/>
        </w:pBdr>
        <w:jc w:val="both"/>
      </w:pPr>
      <w:r w:rsidRPr="002A7199">
        <w:t>Suivre les transactions financières depuis leur origine jusqu’à leur destination finale ;</w:t>
      </w:r>
    </w:p>
    <w:p w:rsidR="009C3783" w:rsidRPr="002A7199" w:rsidRDefault="00D3387E">
      <w:pPr>
        <w:numPr>
          <w:ilvl w:val="0"/>
          <w:numId w:val="1"/>
        </w:numPr>
        <w:pBdr>
          <w:top w:val="nil"/>
          <w:left w:val="nil"/>
          <w:bottom w:val="nil"/>
          <w:right w:val="nil"/>
          <w:between w:val="nil"/>
        </w:pBdr>
        <w:jc w:val="both"/>
      </w:pPr>
      <w:r w:rsidRPr="002A7199">
        <w:t xml:space="preserve">Étudier les indicateurs liés à la réponse financière du pays ; </w:t>
      </w:r>
    </w:p>
    <w:p w:rsidR="009C3783" w:rsidRPr="002A7199" w:rsidRDefault="00D3387E">
      <w:pPr>
        <w:numPr>
          <w:ilvl w:val="0"/>
          <w:numId w:val="1"/>
        </w:numPr>
        <w:pBdr>
          <w:top w:val="nil"/>
          <w:left w:val="nil"/>
          <w:bottom w:val="nil"/>
          <w:right w:val="nil"/>
          <w:between w:val="nil"/>
        </w:pBdr>
        <w:jc w:val="both"/>
      </w:pPr>
      <w:r w:rsidRPr="002A7199">
        <w:t>Évaluer les ressources et dépenses affectées aux interventions dans les secteurs non santé liés à la riposte au VIH/Sida ;</w:t>
      </w:r>
    </w:p>
    <w:p w:rsidR="009C3783" w:rsidRPr="002A7199" w:rsidRDefault="00D3387E">
      <w:pPr>
        <w:numPr>
          <w:ilvl w:val="0"/>
          <w:numId w:val="1"/>
        </w:numPr>
        <w:pBdr>
          <w:top w:val="nil"/>
          <w:left w:val="nil"/>
          <w:bottom w:val="nil"/>
          <w:right w:val="nil"/>
          <w:between w:val="nil"/>
        </w:pBdr>
        <w:jc w:val="both"/>
      </w:pPr>
      <w:r w:rsidRPr="002A7199">
        <w:t>Dégager les écarts, les leçons apprises dans le cadre de la mobilisation et de l’utilisation des ressources pour la Riposte ;</w:t>
      </w:r>
    </w:p>
    <w:p w:rsidR="009C3783" w:rsidRPr="002A7199" w:rsidRDefault="00D3387E">
      <w:pPr>
        <w:numPr>
          <w:ilvl w:val="0"/>
          <w:numId w:val="1"/>
        </w:numPr>
        <w:pBdr>
          <w:top w:val="nil"/>
          <w:left w:val="nil"/>
          <w:bottom w:val="nil"/>
          <w:right w:val="nil"/>
          <w:between w:val="nil"/>
        </w:pBdr>
        <w:spacing w:after="120"/>
        <w:jc w:val="both"/>
      </w:pPr>
      <w:r w:rsidRPr="002A7199">
        <w:t>Formuler des recommandations pertinentes permettant aux décideurs haïtiens d’améliorer le suivi et la gestion des ressources allouées au Programme Haïtien de lutte contre les IST/VIH/Sida  et /dans le cadre de la pérennisation des interventions du programme</w:t>
      </w:r>
      <w:proofErr w:type="gramStart"/>
      <w:r w:rsidRPr="002A7199">
        <w:t>..</w:t>
      </w:r>
      <w:proofErr w:type="gramEnd"/>
      <w:r w:rsidRPr="002A7199">
        <w:t xml:space="preserve"> </w:t>
      </w:r>
    </w:p>
    <w:p w:rsidR="009C3783" w:rsidRPr="002A7199" w:rsidRDefault="009C3783">
      <w:pPr>
        <w:spacing w:after="120"/>
      </w:pPr>
    </w:p>
    <w:p w:rsidR="009C3783" w:rsidRPr="002A7199" w:rsidRDefault="00D3387E">
      <w:pPr>
        <w:numPr>
          <w:ilvl w:val="0"/>
          <w:numId w:val="7"/>
        </w:numPr>
        <w:spacing w:after="120"/>
      </w:pPr>
      <w:r w:rsidRPr="002A7199">
        <w:rPr>
          <w:b/>
        </w:rPr>
        <w:t xml:space="preserve">Extrants attendus de cette consultation technique </w:t>
      </w:r>
    </w:p>
    <w:p w:rsidR="009C3783" w:rsidRPr="002A7199" w:rsidRDefault="00D3387E">
      <w:pPr>
        <w:numPr>
          <w:ilvl w:val="0"/>
          <w:numId w:val="2"/>
        </w:numPr>
        <w:pBdr>
          <w:top w:val="nil"/>
          <w:left w:val="nil"/>
          <w:bottom w:val="nil"/>
          <w:right w:val="nil"/>
          <w:between w:val="nil"/>
        </w:pBdr>
        <w:spacing w:after="120"/>
        <w:jc w:val="both"/>
      </w:pPr>
      <w:r w:rsidRPr="002A7199">
        <w:t xml:space="preserve">Un rapport réaliste des dépenses liées au Sida pour les années  2022, 2023 et 2024 en utilisant dans le souci de standardisation ,l’outil et la méthodologie </w:t>
      </w:r>
      <w:r w:rsidRPr="002A7199">
        <w:rPr>
          <w:b/>
        </w:rPr>
        <w:t>NASA</w:t>
      </w:r>
      <w:r w:rsidRPr="002A7199">
        <w:t xml:space="preserve"> (</w:t>
      </w:r>
      <w:r w:rsidRPr="002A7199">
        <w:rPr>
          <w:b/>
        </w:rPr>
        <w:t>N</w:t>
      </w:r>
      <w:r w:rsidRPr="002A7199">
        <w:t xml:space="preserve">ational </w:t>
      </w:r>
      <w:r w:rsidRPr="002A7199">
        <w:rPr>
          <w:b/>
        </w:rPr>
        <w:t>A</w:t>
      </w:r>
      <w:r w:rsidRPr="002A7199">
        <w:t xml:space="preserve">IDS </w:t>
      </w:r>
      <w:proofErr w:type="spellStart"/>
      <w:r w:rsidRPr="002A7199">
        <w:rPr>
          <w:b/>
        </w:rPr>
        <w:t>S</w:t>
      </w:r>
      <w:r w:rsidRPr="002A7199">
        <w:t>pending</w:t>
      </w:r>
      <w:proofErr w:type="spellEnd"/>
      <w:r w:rsidRPr="002A7199">
        <w:t xml:space="preserve"> </w:t>
      </w:r>
      <w:proofErr w:type="spellStart"/>
      <w:r w:rsidRPr="002A7199">
        <w:rPr>
          <w:b/>
        </w:rPr>
        <w:t>A</w:t>
      </w:r>
      <w:r w:rsidRPr="002A7199">
        <w:t>ccounts</w:t>
      </w:r>
      <w:proofErr w:type="spellEnd"/>
      <w:r w:rsidRPr="002A7199">
        <w:t>) ;</w:t>
      </w:r>
    </w:p>
    <w:p w:rsidR="009C3783" w:rsidRPr="002A7199" w:rsidRDefault="00D3387E">
      <w:pPr>
        <w:numPr>
          <w:ilvl w:val="0"/>
          <w:numId w:val="2"/>
        </w:numPr>
        <w:spacing w:after="120"/>
        <w:jc w:val="both"/>
      </w:pPr>
      <w:r w:rsidRPr="002A7199">
        <w:t>Une analyse des données relatives aux dépenses réelles et celles qui reflètent les engagements budgétaires ;</w:t>
      </w:r>
    </w:p>
    <w:p w:rsidR="009C3783" w:rsidRPr="002A7199" w:rsidRDefault="00D3387E">
      <w:pPr>
        <w:numPr>
          <w:ilvl w:val="0"/>
          <w:numId w:val="2"/>
        </w:numPr>
        <w:spacing w:after="120"/>
        <w:jc w:val="both"/>
      </w:pPr>
      <w:r w:rsidRPr="002A7199">
        <w:t xml:space="preserve">Développement d’une matrice de financement national pour l’indicateur « dépenses intérieures et internationales pour la lutte contre le VIH/Sida par catégorie et sources de financement » </w:t>
      </w:r>
    </w:p>
    <w:p w:rsidR="009C3783" w:rsidRPr="002A7199" w:rsidRDefault="00D3387E">
      <w:pPr>
        <w:numPr>
          <w:ilvl w:val="0"/>
          <w:numId w:val="2"/>
        </w:numPr>
        <w:spacing w:after="120"/>
        <w:jc w:val="both"/>
      </w:pPr>
      <w:r w:rsidRPr="002A7199">
        <w:t xml:space="preserve">Elaboration d’un rapport technique décrivant </w:t>
      </w:r>
    </w:p>
    <w:p w:rsidR="009C3783" w:rsidRPr="002A7199" w:rsidRDefault="00D3387E">
      <w:pPr>
        <w:numPr>
          <w:ilvl w:val="1"/>
          <w:numId w:val="2"/>
        </w:numPr>
        <w:spacing w:after="120"/>
        <w:jc w:val="both"/>
      </w:pPr>
      <w:r w:rsidRPr="002A7199">
        <w:t xml:space="preserve">i) les forces et les faiblesses du financement de la riposte nationale en 2022, 2023 et 2024; </w:t>
      </w:r>
    </w:p>
    <w:p w:rsidR="009C3783" w:rsidRPr="002A7199" w:rsidRDefault="00D3387E">
      <w:pPr>
        <w:numPr>
          <w:ilvl w:val="1"/>
          <w:numId w:val="2"/>
        </w:numPr>
        <w:spacing w:after="120"/>
        <w:jc w:val="both"/>
      </w:pPr>
      <w:r w:rsidRPr="002A7199">
        <w:t xml:space="preserve">ii) les défis de la riposte en 2022, 2023 et 2024 sur le plan financier ; </w:t>
      </w:r>
    </w:p>
    <w:p w:rsidR="009C3783" w:rsidRPr="002A7199" w:rsidRDefault="00D3387E">
      <w:pPr>
        <w:numPr>
          <w:ilvl w:val="1"/>
          <w:numId w:val="2"/>
        </w:numPr>
        <w:spacing w:after="120"/>
        <w:jc w:val="both"/>
      </w:pPr>
      <w:r w:rsidRPr="002A7199">
        <w:t xml:space="preserve">iii) les recommandations visant à améliorer les exercices futurs. </w:t>
      </w:r>
    </w:p>
    <w:p w:rsidR="009C3783" w:rsidRPr="002A7199" w:rsidRDefault="009C3783">
      <w:pPr>
        <w:spacing w:after="120"/>
        <w:ind w:left="720"/>
        <w:jc w:val="both"/>
      </w:pPr>
    </w:p>
    <w:p w:rsidR="009C3783" w:rsidRPr="002A7199" w:rsidRDefault="00D3387E">
      <w:pPr>
        <w:numPr>
          <w:ilvl w:val="0"/>
          <w:numId w:val="7"/>
        </w:numPr>
        <w:spacing w:after="120"/>
        <w:jc w:val="both"/>
      </w:pPr>
      <w:r w:rsidRPr="002A7199">
        <w:rPr>
          <w:b/>
        </w:rPr>
        <w:t xml:space="preserve">Méthodologie proposée </w:t>
      </w:r>
    </w:p>
    <w:p w:rsidR="009C3783" w:rsidRPr="002A7199" w:rsidRDefault="00D3387E">
      <w:pPr>
        <w:spacing w:after="120"/>
        <w:jc w:val="both"/>
      </w:pPr>
      <w:r w:rsidRPr="002A7199">
        <w:t>La méthodologie qui doit être utilisée dans le cadre de l’élaboration de ce rapport est celle contenue dans le document « NASA Notebook » de l’ONUSIDA.</w:t>
      </w:r>
    </w:p>
    <w:p w:rsidR="009C3783" w:rsidRPr="002A7199" w:rsidRDefault="009C3783">
      <w:pPr>
        <w:spacing w:after="120"/>
      </w:pPr>
    </w:p>
    <w:p w:rsidR="009C3783" w:rsidRPr="002A7199" w:rsidRDefault="00D3387E">
      <w:pPr>
        <w:numPr>
          <w:ilvl w:val="0"/>
          <w:numId w:val="7"/>
        </w:numPr>
        <w:spacing w:after="120"/>
      </w:pPr>
      <w:r w:rsidRPr="002A7199">
        <w:rPr>
          <w:b/>
        </w:rPr>
        <w:t>Echéancier proposé</w:t>
      </w:r>
    </w:p>
    <w:tbl>
      <w:tblPr>
        <w:tblStyle w:val="a"/>
        <w:tblW w:w="0" w:type="auto"/>
        <w:tblLook w:val="0000" w:firstRow="0" w:lastRow="0" w:firstColumn="0" w:lastColumn="0" w:noHBand="0" w:noVBand="0"/>
      </w:tblPr>
      <w:tblGrid>
        <w:gridCol w:w="3890"/>
        <w:gridCol w:w="1926"/>
        <w:gridCol w:w="470"/>
        <w:gridCol w:w="470"/>
        <w:gridCol w:w="470"/>
        <w:gridCol w:w="470"/>
        <w:gridCol w:w="470"/>
        <w:gridCol w:w="470"/>
        <w:gridCol w:w="470"/>
        <w:gridCol w:w="470"/>
      </w:tblGrid>
      <w:tr w:rsidR="002A7199" w:rsidRPr="002A7199">
        <w:trPr>
          <w:cantSplit/>
          <w:trHeight w:val="300"/>
        </w:trPr>
        <w:tc>
          <w:tcPr>
            <w:tcW w:w="0" w:type="auto"/>
            <w:vMerge w:val="restart"/>
            <w:tcBorders>
              <w:top w:val="single" w:sz="8" w:space="0" w:color="000000"/>
              <w:left w:val="single" w:sz="8" w:space="0" w:color="000000"/>
              <w:bottom w:val="single" w:sz="8" w:space="0" w:color="000000"/>
              <w:right w:val="single" w:sz="4" w:space="0" w:color="000000"/>
            </w:tcBorders>
          </w:tcPr>
          <w:p w:rsidR="009C3783" w:rsidRPr="002A7199" w:rsidRDefault="00D3387E">
            <w:pPr>
              <w:jc w:val="center"/>
            </w:pPr>
            <w:r w:rsidRPr="002A7199">
              <w:rPr>
                <w:b/>
              </w:rPr>
              <w:t>Activités</w:t>
            </w:r>
          </w:p>
        </w:tc>
        <w:tc>
          <w:tcPr>
            <w:tcW w:w="0" w:type="auto"/>
            <w:vMerge w:val="restart"/>
            <w:tcBorders>
              <w:top w:val="single" w:sz="8" w:space="0" w:color="000000"/>
              <w:left w:val="single" w:sz="4" w:space="0" w:color="000000"/>
              <w:bottom w:val="single" w:sz="8" w:space="0" w:color="000000"/>
              <w:right w:val="single" w:sz="4" w:space="0" w:color="000000"/>
            </w:tcBorders>
          </w:tcPr>
          <w:p w:rsidR="009C3783" w:rsidRPr="002A7199" w:rsidRDefault="00D3387E">
            <w:pPr>
              <w:jc w:val="center"/>
            </w:pPr>
            <w:r w:rsidRPr="002A7199">
              <w:rPr>
                <w:b/>
              </w:rPr>
              <w:t>Responsabilités</w:t>
            </w:r>
          </w:p>
        </w:tc>
        <w:tc>
          <w:tcPr>
            <w:tcW w:w="0" w:type="auto"/>
            <w:gridSpan w:val="8"/>
            <w:tcBorders>
              <w:top w:val="single" w:sz="8" w:space="0" w:color="000000"/>
              <w:left w:val="nil"/>
              <w:bottom w:val="single" w:sz="4" w:space="0" w:color="000000"/>
              <w:right w:val="single" w:sz="8" w:space="0" w:color="000000"/>
            </w:tcBorders>
          </w:tcPr>
          <w:p w:rsidR="009C3783" w:rsidRPr="002A7199" w:rsidRDefault="00D3387E">
            <w:pPr>
              <w:jc w:val="center"/>
            </w:pPr>
            <w:r w:rsidRPr="002A7199">
              <w:rPr>
                <w:b/>
              </w:rPr>
              <w:t>Echéancier proposé</w:t>
            </w:r>
          </w:p>
        </w:tc>
      </w:tr>
      <w:tr w:rsidR="002A7199" w:rsidRPr="002A7199">
        <w:trPr>
          <w:cantSplit/>
          <w:trHeight w:val="360"/>
        </w:trPr>
        <w:tc>
          <w:tcPr>
            <w:tcW w:w="0" w:type="auto"/>
            <w:vMerge/>
            <w:tcBorders>
              <w:top w:val="single" w:sz="8" w:space="0" w:color="000000"/>
              <w:left w:val="single" w:sz="8" w:space="0" w:color="000000"/>
              <w:bottom w:val="single" w:sz="8" w:space="0" w:color="000000"/>
              <w:right w:val="single" w:sz="4" w:space="0" w:color="000000"/>
            </w:tcBorders>
          </w:tcPr>
          <w:p w:rsidR="009C3783" w:rsidRPr="002A7199" w:rsidRDefault="009C3783"/>
        </w:tc>
        <w:tc>
          <w:tcPr>
            <w:tcW w:w="0" w:type="auto"/>
            <w:vMerge/>
            <w:tcBorders>
              <w:top w:val="single" w:sz="8" w:space="0" w:color="000000"/>
              <w:left w:val="single" w:sz="4" w:space="0" w:color="000000"/>
              <w:bottom w:val="single" w:sz="8" w:space="0" w:color="000000"/>
              <w:right w:val="single" w:sz="4" w:space="0" w:color="000000"/>
            </w:tcBorders>
          </w:tcPr>
          <w:p w:rsidR="009C3783" w:rsidRPr="002A7199" w:rsidRDefault="009C3783"/>
        </w:tc>
        <w:tc>
          <w:tcPr>
            <w:tcW w:w="0" w:type="auto"/>
            <w:tcBorders>
              <w:top w:val="nil"/>
              <w:left w:val="nil"/>
              <w:bottom w:val="single" w:sz="8" w:space="0" w:color="000000"/>
              <w:right w:val="single" w:sz="4" w:space="0" w:color="000000"/>
            </w:tcBorders>
          </w:tcPr>
          <w:p w:rsidR="009C3783" w:rsidRPr="002A7199" w:rsidRDefault="00D3387E">
            <w:r w:rsidRPr="002A7199">
              <w:rPr>
                <w:b/>
              </w:rPr>
              <w:t>S1</w:t>
            </w:r>
          </w:p>
        </w:tc>
        <w:tc>
          <w:tcPr>
            <w:tcW w:w="0" w:type="auto"/>
            <w:tcBorders>
              <w:top w:val="nil"/>
              <w:left w:val="nil"/>
              <w:bottom w:val="single" w:sz="8" w:space="0" w:color="000000"/>
              <w:right w:val="single" w:sz="4" w:space="0" w:color="000000"/>
            </w:tcBorders>
          </w:tcPr>
          <w:p w:rsidR="009C3783" w:rsidRPr="002A7199" w:rsidRDefault="00D3387E">
            <w:r w:rsidRPr="002A7199">
              <w:rPr>
                <w:b/>
              </w:rPr>
              <w:t>S2</w:t>
            </w:r>
          </w:p>
        </w:tc>
        <w:tc>
          <w:tcPr>
            <w:tcW w:w="0" w:type="auto"/>
            <w:tcBorders>
              <w:top w:val="nil"/>
              <w:left w:val="nil"/>
              <w:bottom w:val="single" w:sz="8" w:space="0" w:color="000000"/>
              <w:right w:val="single" w:sz="4" w:space="0" w:color="000000"/>
            </w:tcBorders>
          </w:tcPr>
          <w:p w:rsidR="009C3783" w:rsidRPr="002A7199" w:rsidRDefault="00D3387E">
            <w:r w:rsidRPr="002A7199">
              <w:rPr>
                <w:b/>
              </w:rPr>
              <w:t>S3</w:t>
            </w:r>
          </w:p>
        </w:tc>
        <w:tc>
          <w:tcPr>
            <w:tcW w:w="0" w:type="auto"/>
            <w:tcBorders>
              <w:top w:val="nil"/>
              <w:left w:val="nil"/>
              <w:bottom w:val="single" w:sz="8" w:space="0" w:color="000000"/>
              <w:right w:val="single" w:sz="4" w:space="0" w:color="000000"/>
            </w:tcBorders>
          </w:tcPr>
          <w:p w:rsidR="009C3783" w:rsidRPr="002A7199" w:rsidRDefault="00D3387E">
            <w:r w:rsidRPr="002A7199">
              <w:rPr>
                <w:b/>
              </w:rPr>
              <w:t>S4</w:t>
            </w:r>
          </w:p>
        </w:tc>
        <w:tc>
          <w:tcPr>
            <w:tcW w:w="0" w:type="auto"/>
            <w:tcBorders>
              <w:top w:val="nil"/>
              <w:left w:val="nil"/>
              <w:bottom w:val="single" w:sz="8" w:space="0" w:color="000000"/>
              <w:right w:val="single" w:sz="4" w:space="0" w:color="000000"/>
            </w:tcBorders>
          </w:tcPr>
          <w:p w:rsidR="009C3783" w:rsidRPr="002A7199" w:rsidRDefault="00D3387E">
            <w:r w:rsidRPr="002A7199">
              <w:rPr>
                <w:b/>
              </w:rPr>
              <w:t>S5</w:t>
            </w:r>
          </w:p>
        </w:tc>
        <w:tc>
          <w:tcPr>
            <w:tcW w:w="0" w:type="auto"/>
            <w:tcBorders>
              <w:top w:val="nil"/>
              <w:left w:val="nil"/>
              <w:bottom w:val="single" w:sz="8" w:space="0" w:color="000000"/>
              <w:right w:val="single" w:sz="8" w:space="0" w:color="000000"/>
            </w:tcBorders>
          </w:tcPr>
          <w:p w:rsidR="009C3783" w:rsidRPr="002A7199" w:rsidRDefault="00D3387E">
            <w:r w:rsidRPr="002A7199">
              <w:rPr>
                <w:b/>
              </w:rPr>
              <w:t>S6</w:t>
            </w:r>
          </w:p>
        </w:tc>
        <w:tc>
          <w:tcPr>
            <w:tcW w:w="0" w:type="auto"/>
            <w:tcBorders>
              <w:top w:val="nil"/>
              <w:left w:val="nil"/>
              <w:bottom w:val="single" w:sz="8" w:space="0" w:color="000000"/>
              <w:right w:val="single" w:sz="8" w:space="0" w:color="000000"/>
            </w:tcBorders>
          </w:tcPr>
          <w:p w:rsidR="009C3783" w:rsidRPr="002A7199" w:rsidRDefault="00D3387E">
            <w:r w:rsidRPr="002A7199">
              <w:rPr>
                <w:b/>
              </w:rPr>
              <w:t>S7</w:t>
            </w:r>
          </w:p>
        </w:tc>
        <w:tc>
          <w:tcPr>
            <w:tcW w:w="0" w:type="auto"/>
            <w:tcBorders>
              <w:top w:val="nil"/>
              <w:left w:val="nil"/>
              <w:bottom w:val="single" w:sz="8" w:space="0" w:color="000000"/>
              <w:right w:val="single" w:sz="8" w:space="0" w:color="000000"/>
            </w:tcBorders>
          </w:tcPr>
          <w:p w:rsidR="009C3783" w:rsidRPr="002A7199" w:rsidRDefault="00D3387E">
            <w:r w:rsidRPr="002A7199">
              <w:rPr>
                <w:b/>
              </w:rPr>
              <w:t>S8</w:t>
            </w:r>
          </w:p>
        </w:tc>
      </w:tr>
      <w:tr w:rsidR="002A7199" w:rsidRPr="002A7199">
        <w:trPr>
          <w:trHeight w:val="1230"/>
        </w:trPr>
        <w:tc>
          <w:tcPr>
            <w:tcW w:w="0" w:type="auto"/>
            <w:tcBorders>
              <w:top w:val="nil"/>
              <w:left w:val="single" w:sz="8" w:space="0" w:color="000000"/>
              <w:bottom w:val="single" w:sz="4" w:space="0" w:color="000000"/>
              <w:right w:val="single" w:sz="4" w:space="0" w:color="000000"/>
            </w:tcBorders>
            <w:shd w:val="clear" w:color="auto" w:fill="auto"/>
          </w:tcPr>
          <w:p w:rsidR="009C3783" w:rsidRPr="002A7199" w:rsidRDefault="00D3387E">
            <w:r w:rsidRPr="002A7199">
              <w:t>Appel d’offre pour le recrutement d’un consultant</w:t>
            </w:r>
          </w:p>
          <w:p w:rsidR="009C3783" w:rsidRPr="002A7199" w:rsidRDefault="00D3387E">
            <w:r w:rsidRPr="002A7199">
              <w:t xml:space="preserve">Sélection et choix du consultant </w:t>
            </w:r>
          </w:p>
          <w:p w:rsidR="009C3783" w:rsidRPr="002A7199" w:rsidRDefault="009C3783"/>
          <w:p w:rsidR="009C3783" w:rsidRPr="002A7199" w:rsidRDefault="00D3387E">
            <w:r w:rsidRPr="002A7199">
              <w:t>Rencontre avec le  consultant pour signature de contrat et consensus sur la tenue de certaines modalités à respecter dans les clauses du contrat</w:t>
            </w:r>
          </w:p>
          <w:p w:rsidR="009C3783" w:rsidRPr="002A7199" w:rsidRDefault="009C3783"/>
          <w:p w:rsidR="009C3783" w:rsidRPr="002A7199" w:rsidRDefault="00D3387E">
            <w:r w:rsidRPr="002A7199">
              <w:t xml:space="preserve">Rencontres  avec la coordination sur les directives à appliquer en contactant les Partenaires clés </w:t>
            </w:r>
          </w:p>
          <w:p w:rsidR="009C3783" w:rsidRPr="002A7199" w:rsidRDefault="009C3783"/>
          <w:p w:rsidR="009C3783" w:rsidRPr="002A7199" w:rsidRDefault="00D3387E">
            <w:r w:rsidRPr="002A7199">
              <w:t xml:space="preserve"> Préparation et remise d ‘une correspondance  d'introduction au consultant pour informer les Partenaires, etc.)</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pPr>
              <w:jc w:val="center"/>
            </w:pPr>
            <w:r w:rsidRPr="002A7199">
              <w:t>Coordination Technique du PNLS</w:t>
            </w:r>
          </w:p>
        </w:tc>
        <w:tc>
          <w:tcPr>
            <w:tcW w:w="0" w:type="auto"/>
            <w:tcBorders>
              <w:top w:val="nil"/>
              <w:left w:val="nil"/>
              <w:bottom w:val="single" w:sz="4" w:space="0" w:color="000000"/>
              <w:right w:val="single" w:sz="4" w:space="0" w:color="000000"/>
            </w:tcBorders>
            <w:shd w:val="clear" w:color="auto" w:fill="FFFF00"/>
          </w:tcPr>
          <w:p w:rsidR="009C3783" w:rsidRPr="002A7199" w:rsidRDefault="00D3387E">
            <w:r w:rsidRPr="002A7199">
              <w:t> </w:t>
            </w:r>
          </w:p>
        </w:tc>
        <w:tc>
          <w:tcPr>
            <w:tcW w:w="0" w:type="auto"/>
            <w:tcBorders>
              <w:top w:val="single" w:sz="8" w:space="0" w:color="000000"/>
              <w:left w:val="nil"/>
              <w:bottom w:val="single" w:sz="4" w:space="0" w:color="000000"/>
              <w:right w:val="single" w:sz="4" w:space="0" w:color="000000"/>
            </w:tcBorders>
            <w:shd w:val="clear" w:color="auto" w:fill="FFFFFF"/>
          </w:tcPr>
          <w:p w:rsidR="009C3783" w:rsidRPr="002A7199" w:rsidRDefault="00D3387E">
            <w:r w:rsidRPr="002A7199">
              <w:t> </w:t>
            </w:r>
          </w:p>
        </w:tc>
        <w:tc>
          <w:tcPr>
            <w:tcW w:w="0" w:type="auto"/>
            <w:tcBorders>
              <w:top w:val="single" w:sz="8" w:space="0" w:color="000000"/>
              <w:left w:val="nil"/>
              <w:bottom w:val="single" w:sz="4" w:space="0" w:color="000000"/>
              <w:right w:val="single" w:sz="4" w:space="0" w:color="000000"/>
            </w:tcBorders>
            <w:shd w:val="clear" w:color="auto" w:fill="FFFFFF"/>
          </w:tcPr>
          <w:p w:rsidR="009C3783" w:rsidRPr="002A7199" w:rsidRDefault="00D3387E">
            <w:r w:rsidRPr="002A7199">
              <w:t> </w:t>
            </w:r>
          </w:p>
        </w:tc>
        <w:tc>
          <w:tcPr>
            <w:tcW w:w="0" w:type="auto"/>
            <w:tcBorders>
              <w:top w:val="nil"/>
              <w:left w:val="nil"/>
              <w:bottom w:val="single" w:sz="4" w:space="0" w:color="000000"/>
              <w:right w:val="single" w:sz="4" w:space="0" w:color="000000"/>
            </w:tcBorders>
          </w:tcPr>
          <w:p w:rsidR="009C3783" w:rsidRPr="002A7199" w:rsidRDefault="00D3387E">
            <w:r w:rsidRPr="002A7199">
              <w:t> </w:t>
            </w:r>
          </w:p>
        </w:tc>
        <w:tc>
          <w:tcPr>
            <w:tcW w:w="0" w:type="auto"/>
            <w:tcBorders>
              <w:top w:val="nil"/>
              <w:left w:val="nil"/>
              <w:bottom w:val="single" w:sz="4" w:space="0" w:color="000000"/>
              <w:right w:val="single" w:sz="4" w:space="0" w:color="000000"/>
            </w:tcBorders>
          </w:tcPr>
          <w:p w:rsidR="009C3783" w:rsidRPr="002A7199" w:rsidRDefault="00D3387E">
            <w:r w:rsidRPr="002A7199">
              <w:t> </w:t>
            </w:r>
          </w:p>
        </w:tc>
        <w:tc>
          <w:tcPr>
            <w:tcW w:w="0" w:type="auto"/>
            <w:tcBorders>
              <w:top w:val="nil"/>
              <w:left w:val="nil"/>
              <w:bottom w:val="single" w:sz="4" w:space="0" w:color="000000"/>
              <w:right w:val="single" w:sz="8" w:space="0" w:color="000000"/>
            </w:tcBorders>
          </w:tcPr>
          <w:p w:rsidR="009C3783" w:rsidRPr="002A7199" w:rsidRDefault="00D3387E">
            <w:r w:rsidRPr="002A7199">
              <w:t> </w:t>
            </w:r>
          </w:p>
        </w:tc>
        <w:tc>
          <w:tcPr>
            <w:tcW w:w="0" w:type="auto"/>
            <w:tcBorders>
              <w:top w:val="nil"/>
              <w:left w:val="nil"/>
              <w:bottom w:val="single" w:sz="4" w:space="0" w:color="000000"/>
              <w:right w:val="single" w:sz="8" w:space="0" w:color="000000"/>
            </w:tcBorders>
          </w:tcPr>
          <w:p w:rsidR="009C3783" w:rsidRPr="002A7199" w:rsidRDefault="009C3783"/>
        </w:tc>
        <w:tc>
          <w:tcPr>
            <w:tcW w:w="0" w:type="auto"/>
            <w:tcBorders>
              <w:top w:val="nil"/>
              <w:left w:val="nil"/>
              <w:bottom w:val="single" w:sz="4" w:space="0" w:color="000000"/>
              <w:right w:val="single" w:sz="8" w:space="0" w:color="000000"/>
            </w:tcBorders>
          </w:tcPr>
          <w:p w:rsidR="009C3783" w:rsidRPr="002A7199" w:rsidRDefault="009C3783"/>
        </w:tc>
      </w:tr>
      <w:tr w:rsidR="002A7199" w:rsidRPr="002A7199">
        <w:trPr>
          <w:trHeight w:val="1140"/>
        </w:trPr>
        <w:tc>
          <w:tcPr>
            <w:tcW w:w="0" w:type="auto"/>
            <w:tcBorders>
              <w:top w:val="nil"/>
              <w:left w:val="single" w:sz="8" w:space="0" w:color="000000"/>
              <w:bottom w:val="single" w:sz="4" w:space="0" w:color="000000"/>
              <w:right w:val="single" w:sz="4" w:space="0" w:color="000000"/>
            </w:tcBorders>
            <w:shd w:val="clear" w:color="auto" w:fill="auto"/>
          </w:tcPr>
          <w:p w:rsidR="009C3783" w:rsidRPr="002A7199" w:rsidRDefault="00D3387E">
            <w:r w:rsidRPr="002A7199">
              <w:t xml:space="preserve">Rencontre avec le consultant sur l’utilisation </w:t>
            </w:r>
            <w:r w:rsidRPr="002A7199">
              <w:rPr>
                <w:b/>
              </w:rPr>
              <w:t>version actualisée de  « NASA Notebook »</w:t>
            </w:r>
            <w:r w:rsidRPr="002A7199">
              <w:t xml:space="preserve"> de l’ONUSIDA et partage de certains documents pour faciliter le travail du consultant</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pPr>
              <w:jc w:val="center"/>
            </w:pPr>
            <w:r w:rsidRPr="002A7199">
              <w:t>Coordination Technique du PNLS</w:t>
            </w:r>
          </w:p>
        </w:tc>
        <w:tc>
          <w:tcPr>
            <w:tcW w:w="0" w:type="auto"/>
            <w:tcBorders>
              <w:top w:val="nil"/>
              <w:left w:val="nil"/>
              <w:bottom w:val="single" w:sz="4" w:space="0" w:color="000000"/>
              <w:right w:val="single" w:sz="4" w:space="0" w:color="000000"/>
            </w:tcBorders>
            <w:shd w:val="clear" w:color="auto" w:fill="FFFFFF"/>
          </w:tcPr>
          <w:p w:rsidR="009C3783" w:rsidRPr="002A7199" w:rsidRDefault="00D3387E">
            <w:r w:rsidRPr="002A7199">
              <w:t> </w:t>
            </w:r>
          </w:p>
        </w:tc>
        <w:tc>
          <w:tcPr>
            <w:tcW w:w="0" w:type="auto"/>
            <w:tcBorders>
              <w:top w:val="single" w:sz="4" w:space="0" w:color="000000"/>
              <w:left w:val="nil"/>
              <w:bottom w:val="single" w:sz="4" w:space="0" w:color="000000"/>
              <w:right w:val="single" w:sz="4" w:space="0" w:color="000000"/>
            </w:tcBorders>
            <w:shd w:val="clear" w:color="auto" w:fill="FFFF00"/>
          </w:tcPr>
          <w:p w:rsidR="009C3783" w:rsidRPr="002A7199" w:rsidRDefault="00D3387E">
            <w:r w:rsidRPr="002A7199">
              <w:t> </w:t>
            </w:r>
          </w:p>
        </w:tc>
        <w:tc>
          <w:tcPr>
            <w:tcW w:w="0" w:type="auto"/>
            <w:tcBorders>
              <w:top w:val="single" w:sz="4" w:space="0" w:color="000000"/>
              <w:left w:val="nil"/>
              <w:bottom w:val="single" w:sz="4" w:space="0" w:color="000000"/>
              <w:right w:val="single" w:sz="4" w:space="0" w:color="000000"/>
            </w:tcBorders>
            <w:shd w:val="clear" w:color="auto" w:fill="FFFFFF"/>
          </w:tcPr>
          <w:p w:rsidR="009C3783" w:rsidRPr="002A7199" w:rsidRDefault="00D3387E">
            <w:r w:rsidRPr="002A7199">
              <w:t> </w:t>
            </w:r>
          </w:p>
        </w:tc>
        <w:tc>
          <w:tcPr>
            <w:tcW w:w="0" w:type="auto"/>
            <w:tcBorders>
              <w:top w:val="nil"/>
              <w:left w:val="nil"/>
              <w:bottom w:val="single" w:sz="4" w:space="0" w:color="000000"/>
              <w:right w:val="single" w:sz="4" w:space="0" w:color="000000"/>
            </w:tcBorders>
          </w:tcPr>
          <w:p w:rsidR="009C3783" w:rsidRPr="002A7199" w:rsidRDefault="00D3387E">
            <w:r w:rsidRPr="002A7199">
              <w:t> </w:t>
            </w:r>
          </w:p>
        </w:tc>
        <w:tc>
          <w:tcPr>
            <w:tcW w:w="0" w:type="auto"/>
            <w:tcBorders>
              <w:top w:val="nil"/>
              <w:left w:val="nil"/>
              <w:bottom w:val="single" w:sz="4" w:space="0" w:color="000000"/>
              <w:right w:val="single" w:sz="4" w:space="0" w:color="000000"/>
            </w:tcBorders>
          </w:tcPr>
          <w:p w:rsidR="009C3783" w:rsidRPr="002A7199" w:rsidRDefault="00D3387E">
            <w:r w:rsidRPr="002A7199">
              <w:t> </w:t>
            </w:r>
          </w:p>
        </w:tc>
        <w:tc>
          <w:tcPr>
            <w:tcW w:w="0" w:type="auto"/>
            <w:tcBorders>
              <w:top w:val="nil"/>
              <w:left w:val="nil"/>
              <w:bottom w:val="single" w:sz="4" w:space="0" w:color="000000"/>
              <w:right w:val="single" w:sz="8" w:space="0" w:color="000000"/>
            </w:tcBorders>
          </w:tcPr>
          <w:p w:rsidR="009C3783" w:rsidRPr="002A7199" w:rsidRDefault="00D3387E">
            <w:r w:rsidRPr="002A7199">
              <w:t> </w:t>
            </w:r>
          </w:p>
        </w:tc>
        <w:tc>
          <w:tcPr>
            <w:tcW w:w="0" w:type="auto"/>
            <w:tcBorders>
              <w:top w:val="nil"/>
              <w:left w:val="nil"/>
              <w:bottom w:val="single" w:sz="4" w:space="0" w:color="000000"/>
              <w:right w:val="single" w:sz="8" w:space="0" w:color="000000"/>
            </w:tcBorders>
          </w:tcPr>
          <w:p w:rsidR="009C3783" w:rsidRPr="002A7199" w:rsidRDefault="009C3783"/>
        </w:tc>
        <w:tc>
          <w:tcPr>
            <w:tcW w:w="0" w:type="auto"/>
            <w:tcBorders>
              <w:top w:val="nil"/>
              <w:left w:val="nil"/>
              <w:bottom w:val="single" w:sz="4" w:space="0" w:color="000000"/>
              <w:right w:val="single" w:sz="8" w:space="0" w:color="000000"/>
            </w:tcBorders>
          </w:tcPr>
          <w:p w:rsidR="009C3783" w:rsidRPr="002A7199" w:rsidRDefault="009C3783"/>
        </w:tc>
      </w:tr>
      <w:tr w:rsidR="002A7199" w:rsidRPr="002A7199">
        <w:trPr>
          <w:trHeight w:val="728"/>
        </w:trPr>
        <w:tc>
          <w:tcPr>
            <w:tcW w:w="0" w:type="auto"/>
            <w:tcBorders>
              <w:top w:val="nil"/>
              <w:left w:val="single" w:sz="8" w:space="0" w:color="000000"/>
              <w:bottom w:val="single" w:sz="4" w:space="0" w:color="000000"/>
              <w:right w:val="single" w:sz="4" w:space="0" w:color="000000"/>
            </w:tcBorders>
            <w:shd w:val="clear" w:color="auto" w:fill="auto"/>
          </w:tcPr>
          <w:p w:rsidR="009C3783" w:rsidRPr="002A7199" w:rsidRDefault="00D3387E">
            <w:r w:rsidRPr="002A7199">
              <w:t>Collecte des données sur les dépenses encourues en 2022, 2023 et 2024</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pPr>
              <w:jc w:val="center"/>
            </w:pPr>
            <w:r w:rsidRPr="002A7199">
              <w:t>Consultant</w:t>
            </w:r>
          </w:p>
        </w:tc>
        <w:tc>
          <w:tcPr>
            <w:tcW w:w="0" w:type="auto"/>
            <w:tcBorders>
              <w:top w:val="nil"/>
              <w:left w:val="nil"/>
              <w:bottom w:val="single" w:sz="4" w:space="0" w:color="000000"/>
              <w:right w:val="single" w:sz="4" w:space="0" w:color="000000"/>
            </w:tcBorders>
            <w:shd w:val="clear" w:color="auto" w:fill="FFFFFF"/>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FFFF00"/>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FFFF00"/>
          </w:tcPr>
          <w:p w:rsidR="009C3783" w:rsidRPr="002A7199" w:rsidRDefault="00D3387E">
            <w:r w:rsidRPr="002A7199">
              <w:t> </w:t>
            </w:r>
          </w:p>
        </w:tc>
        <w:tc>
          <w:tcPr>
            <w:tcW w:w="0" w:type="auto"/>
            <w:tcBorders>
              <w:top w:val="single" w:sz="4" w:space="0" w:color="000000"/>
              <w:left w:val="nil"/>
              <w:bottom w:val="single" w:sz="4" w:space="0" w:color="000000"/>
              <w:right w:val="single" w:sz="4" w:space="0" w:color="000000"/>
            </w:tcBorders>
            <w:shd w:val="clear" w:color="auto" w:fill="FFFF00"/>
          </w:tcPr>
          <w:p w:rsidR="009C3783" w:rsidRPr="002A7199" w:rsidRDefault="00D3387E">
            <w:r w:rsidRPr="002A7199">
              <w:t> </w:t>
            </w:r>
          </w:p>
        </w:tc>
        <w:tc>
          <w:tcPr>
            <w:tcW w:w="0" w:type="auto"/>
            <w:tcBorders>
              <w:top w:val="single" w:sz="4" w:space="0" w:color="000000"/>
              <w:left w:val="nil"/>
              <w:bottom w:val="single" w:sz="4" w:space="0" w:color="000000"/>
              <w:right w:val="single" w:sz="4" w:space="0" w:color="000000"/>
            </w:tcBorders>
            <w:shd w:val="clear" w:color="auto" w:fill="FFFFFF"/>
          </w:tcPr>
          <w:p w:rsidR="009C3783" w:rsidRPr="002A7199" w:rsidRDefault="00D3387E">
            <w:r w:rsidRPr="002A7199">
              <w:t> </w:t>
            </w:r>
          </w:p>
        </w:tc>
        <w:tc>
          <w:tcPr>
            <w:tcW w:w="0" w:type="auto"/>
            <w:tcBorders>
              <w:top w:val="nil"/>
              <w:left w:val="nil"/>
              <w:bottom w:val="single" w:sz="4" w:space="0" w:color="000000"/>
              <w:right w:val="single" w:sz="8" w:space="0" w:color="000000"/>
            </w:tcBorders>
          </w:tcPr>
          <w:p w:rsidR="009C3783" w:rsidRPr="002A7199" w:rsidRDefault="00D3387E">
            <w:r w:rsidRPr="002A7199">
              <w:t> </w:t>
            </w:r>
          </w:p>
        </w:tc>
        <w:tc>
          <w:tcPr>
            <w:tcW w:w="0" w:type="auto"/>
            <w:tcBorders>
              <w:top w:val="nil"/>
              <w:left w:val="nil"/>
              <w:bottom w:val="single" w:sz="4" w:space="0" w:color="000000"/>
              <w:right w:val="single" w:sz="8" w:space="0" w:color="000000"/>
            </w:tcBorders>
          </w:tcPr>
          <w:p w:rsidR="009C3783" w:rsidRPr="002A7199" w:rsidRDefault="009C3783"/>
        </w:tc>
        <w:tc>
          <w:tcPr>
            <w:tcW w:w="0" w:type="auto"/>
            <w:tcBorders>
              <w:top w:val="nil"/>
              <w:left w:val="nil"/>
              <w:bottom w:val="single" w:sz="4" w:space="0" w:color="000000"/>
              <w:right w:val="single" w:sz="8" w:space="0" w:color="000000"/>
            </w:tcBorders>
          </w:tcPr>
          <w:p w:rsidR="009C3783" w:rsidRPr="002A7199" w:rsidRDefault="009C3783"/>
        </w:tc>
      </w:tr>
      <w:tr w:rsidR="002A7199" w:rsidRPr="002A7199">
        <w:trPr>
          <w:trHeight w:val="600"/>
        </w:trPr>
        <w:tc>
          <w:tcPr>
            <w:tcW w:w="0" w:type="auto"/>
            <w:tcBorders>
              <w:top w:val="nil"/>
              <w:left w:val="single" w:sz="8" w:space="0" w:color="000000"/>
              <w:bottom w:val="single" w:sz="4" w:space="0" w:color="000000"/>
              <w:right w:val="single" w:sz="4" w:space="0" w:color="000000"/>
            </w:tcBorders>
            <w:shd w:val="clear" w:color="auto" w:fill="auto"/>
          </w:tcPr>
          <w:p w:rsidR="009C3783" w:rsidRPr="002A7199" w:rsidRDefault="00D3387E">
            <w:r w:rsidRPr="002A7199">
              <w:t xml:space="preserve">Prévision des rencontres au besoin </w:t>
            </w:r>
          </w:p>
          <w:p w:rsidR="009C3783" w:rsidRPr="002A7199" w:rsidRDefault="00D3387E">
            <w:r w:rsidRPr="002A7199">
              <w:t>entre consultant et porteur de dossier au PNLS</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pPr>
              <w:jc w:val="center"/>
            </w:pPr>
            <w:r w:rsidRPr="002A7199">
              <w:t>Porteur de dossier M&amp;E</w:t>
            </w:r>
          </w:p>
        </w:tc>
        <w:tc>
          <w:tcPr>
            <w:tcW w:w="0" w:type="auto"/>
            <w:tcBorders>
              <w:top w:val="nil"/>
              <w:left w:val="nil"/>
              <w:bottom w:val="single" w:sz="4" w:space="0" w:color="000000"/>
              <w:right w:val="single" w:sz="4" w:space="0" w:color="000000"/>
            </w:tcBorders>
            <w:shd w:val="clear" w:color="auto" w:fill="auto"/>
          </w:tcPr>
          <w:p w:rsidR="009C3783" w:rsidRPr="002A7199" w:rsidRDefault="009C3783"/>
        </w:tc>
        <w:tc>
          <w:tcPr>
            <w:tcW w:w="0" w:type="auto"/>
            <w:tcBorders>
              <w:top w:val="nil"/>
              <w:left w:val="nil"/>
              <w:bottom w:val="single" w:sz="4" w:space="0" w:color="000000"/>
              <w:right w:val="single" w:sz="4" w:space="0" w:color="000000"/>
            </w:tcBorders>
            <w:shd w:val="clear" w:color="auto" w:fill="FFFFFF"/>
          </w:tcPr>
          <w:p w:rsidR="009C3783" w:rsidRPr="002A7199" w:rsidRDefault="009C3783"/>
        </w:tc>
        <w:tc>
          <w:tcPr>
            <w:tcW w:w="0" w:type="auto"/>
            <w:tcBorders>
              <w:top w:val="single" w:sz="4" w:space="0" w:color="000000"/>
              <w:left w:val="nil"/>
              <w:bottom w:val="single" w:sz="4" w:space="0" w:color="000000"/>
              <w:right w:val="single" w:sz="4" w:space="0" w:color="000000"/>
            </w:tcBorders>
            <w:shd w:val="clear" w:color="auto" w:fill="FFFF00"/>
          </w:tcPr>
          <w:p w:rsidR="009C3783" w:rsidRPr="002A7199" w:rsidRDefault="009C3783"/>
        </w:tc>
        <w:tc>
          <w:tcPr>
            <w:tcW w:w="0" w:type="auto"/>
            <w:tcBorders>
              <w:top w:val="single" w:sz="4" w:space="0" w:color="000000"/>
              <w:left w:val="nil"/>
              <w:bottom w:val="single" w:sz="4" w:space="0" w:color="000000"/>
              <w:right w:val="single" w:sz="4" w:space="0" w:color="000000"/>
            </w:tcBorders>
            <w:shd w:val="clear" w:color="auto" w:fill="FFFFFF"/>
          </w:tcPr>
          <w:p w:rsidR="009C3783" w:rsidRPr="002A7199" w:rsidRDefault="009C3783"/>
        </w:tc>
        <w:tc>
          <w:tcPr>
            <w:tcW w:w="0" w:type="auto"/>
            <w:tcBorders>
              <w:top w:val="nil"/>
              <w:left w:val="nil"/>
              <w:bottom w:val="single" w:sz="4" w:space="0" w:color="000000"/>
              <w:right w:val="single" w:sz="4" w:space="0" w:color="000000"/>
            </w:tcBorders>
          </w:tcPr>
          <w:p w:rsidR="009C3783" w:rsidRPr="002A7199" w:rsidRDefault="009C3783"/>
        </w:tc>
        <w:tc>
          <w:tcPr>
            <w:tcW w:w="0" w:type="auto"/>
            <w:tcBorders>
              <w:top w:val="nil"/>
              <w:left w:val="nil"/>
              <w:bottom w:val="single" w:sz="4" w:space="0" w:color="000000"/>
              <w:right w:val="single" w:sz="8" w:space="0" w:color="000000"/>
            </w:tcBorders>
          </w:tcPr>
          <w:p w:rsidR="009C3783" w:rsidRPr="002A7199" w:rsidRDefault="009C3783"/>
        </w:tc>
        <w:tc>
          <w:tcPr>
            <w:tcW w:w="0" w:type="auto"/>
            <w:tcBorders>
              <w:top w:val="nil"/>
              <w:left w:val="nil"/>
              <w:bottom w:val="single" w:sz="4" w:space="0" w:color="000000"/>
              <w:right w:val="single" w:sz="8" w:space="0" w:color="000000"/>
            </w:tcBorders>
          </w:tcPr>
          <w:p w:rsidR="009C3783" w:rsidRPr="002A7199" w:rsidRDefault="009C3783"/>
        </w:tc>
        <w:tc>
          <w:tcPr>
            <w:tcW w:w="0" w:type="auto"/>
            <w:tcBorders>
              <w:top w:val="nil"/>
              <w:left w:val="nil"/>
              <w:bottom w:val="single" w:sz="4" w:space="0" w:color="000000"/>
              <w:right w:val="single" w:sz="8" w:space="0" w:color="000000"/>
            </w:tcBorders>
          </w:tcPr>
          <w:p w:rsidR="009C3783" w:rsidRPr="002A7199" w:rsidRDefault="009C3783"/>
        </w:tc>
      </w:tr>
      <w:tr w:rsidR="002A7199" w:rsidRPr="002A7199">
        <w:trPr>
          <w:trHeight w:val="600"/>
        </w:trPr>
        <w:tc>
          <w:tcPr>
            <w:tcW w:w="0" w:type="auto"/>
            <w:tcBorders>
              <w:top w:val="nil"/>
              <w:left w:val="single" w:sz="8" w:space="0" w:color="000000"/>
              <w:bottom w:val="single" w:sz="4" w:space="0" w:color="000000"/>
              <w:right w:val="single" w:sz="4" w:space="0" w:color="000000"/>
            </w:tcBorders>
            <w:shd w:val="clear" w:color="auto" w:fill="auto"/>
          </w:tcPr>
          <w:p w:rsidR="009C3783" w:rsidRPr="002A7199" w:rsidRDefault="00D3387E">
            <w:r w:rsidRPr="002A7199">
              <w:t>Rencontres avec consultant sur état avancement de la collecte des données rapport REDES 2025</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pPr>
              <w:jc w:val="center"/>
            </w:pPr>
            <w:r w:rsidRPr="002A7199">
              <w:t>Coordination Technique du PNLS</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FFFFFF"/>
          </w:tcPr>
          <w:p w:rsidR="009C3783" w:rsidRPr="002A7199" w:rsidRDefault="00D3387E">
            <w:r w:rsidRPr="002A7199">
              <w:t> </w:t>
            </w:r>
          </w:p>
        </w:tc>
        <w:tc>
          <w:tcPr>
            <w:tcW w:w="0" w:type="auto"/>
            <w:tcBorders>
              <w:top w:val="single" w:sz="4" w:space="0" w:color="000000"/>
              <w:left w:val="nil"/>
              <w:bottom w:val="single" w:sz="4" w:space="0" w:color="000000"/>
              <w:right w:val="single" w:sz="4" w:space="0" w:color="000000"/>
            </w:tcBorders>
            <w:shd w:val="clear" w:color="auto" w:fill="FFFF00"/>
          </w:tcPr>
          <w:p w:rsidR="009C3783" w:rsidRPr="002A7199" w:rsidRDefault="00D3387E">
            <w:r w:rsidRPr="002A7199">
              <w:t> </w:t>
            </w:r>
          </w:p>
        </w:tc>
        <w:tc>
          <w:tcPr>
            <w:tcW w:w="0" w:type="auto"/>
            <w:tcBorders>
              <w:top w:val="single" w:sz="4" w:space="0" w:color="000000"/>
              <w:left w:val="nil"/>
              <w:bottom w:val="single" w:sz="4" w:space="0" w:color="000000"/>
              <w:right w:val="single" w:sz="4" w:space="0" w:color="000000"/>
            </w:tcBorders>
            <w:shd w:val="clear" w:color="auto" w:fill="FFFFFF"/>
          </w:tcPr>
          <w:p w:rsidR="009C3783" w:rsidRPr="002A7199" w:rsidRDefault="00D3387E">
            <w:r w:rsidRPr="002A7199">
              <w:t> </w:t>
            </w:r>
          </w:p>
        </w:tc>
        <w:tc>
          <w:tcPr>
            <w:tcW w:w="0" w:type="auto"/>
            <w:tcBorders>
              <w:top w:val="nil"/>
              <w:left w:val="nil"/>
              <w:bottom w:val="single" w:sz="4" w:space="0" w:color="000000"/>
              <w:right w:val="single" w:sz="4" w:space="0" w:color="000000"/>
            </w:tcBorders>
          </w:tcPr>
          <w:p w:rsidR="009C3783" w:rsidRPr="002A7199" w:rsidRDefault="00D3387E">
            <w:r w:rsidRPr="002A7199">
              <w:t> </w:t>
            </w:r>
          </w:p>
        </w:tc>
        <w:tc>
          <w:tcPr>
            <w:tcW w:w="0" w:type="auto"/>
            <w:tcBorders>
              <w:top w:val="nil"/>
              <w:left w:val="nil"/>
              <w:bottom w:val="single" w:sz="4" w:space="0" w:color="000000"/>
              <w:right w:val="single" w:sz="8" w:space="0" w:color="000000"/>
            </w:tcBorders>
          </w:tcPr>
          <w:p w:rsidR="009C3783" w:rsidRPr="002A7199" w:rsidRDefault="00D3387E">
            <w:r w:rsidRPr="002A7199">
              <w:t> </w:t>
            </w:r>
          </w:p>
        </w:tc>
        <w:tc>
          <w:tcPr>
            <w:tcW w:w="0" w:type="auto"/>
            <w:tcBorders>
              <w:top w:val="nil"/>
              <w:left w:val="nil"/>
              <w:bottom w:val="single" w:sz="4" w:space="0" w:color="000000"/>
              <w:right w:val="single" w:sz="8" w:space="0" w:color="000000"/>
            </w:tcBorders>
          </w:tcPr>
          <w:p w:rsidR="009C3783" w:rsidRPr="002A7199" w:rsidRDefault="009C3783"/>
        </w:tc>
        <w:tc>
          <w:tcPr>
            <w:tcW w:w="0" w:type="auto"/>
            <w:tcBorders>
              <w:top w:val="nil"/>
              <w:left w:val="nil"/>
              <w:bottom w:val="single" w:sz="4" w:space="0" w:color="000000"/>
              <w:right w:val="single" w:sz="8" w:space="0" w:color="000000"/>
            </w:tcBorders>
          </w:tcPr>
          <w:p w:rsidR="009C3783" w:rsidRPr="002A7199" w:rsidRDefault="009C3783"/>
        </w:tc>
      </w:tr>
      <w:tr w:rsidR="002A7199" w:rsidRPr="002A7199">
        <w:trPr>
          <w:trHeight w:val="600"/>
        </w:trPr>
        <w:tc>
          <w:tcPr>
            <w:tcW w:w="0" w:type="auto"/>
            <w:tcBorders>
              <w:top w:val="nil"/>
              <w:left w:val="single" w:sz="8" w:space="0" w:color="000000"/>
              <w:bottom w:val="single" w:sz="4" w:space="0" w:color="000000"/>
              <w:right w:val="single" w:sz="4" w:space="0" w:color="000000"/>
            </w:tcBorders>
            <w:shd w:val="clear" w:color="auto" w:fill="auto"/>
          </w:tcPr>
          <w:p w:rsidR="009C3783" w:rsidRPr="002A7199" w:rsidRDefault="00D3387E">
            <w:r w:rsidRPr="002A7199">
              <w:t xml:space="preserve">Rencontre au besoin avec les Partenaires sur la collecte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pPr>
              <w:jc w:val="center"/>
            </w:pPr>
            <w:r w:rsidRPr="002A7199">
              <w:t>Coordination Technique du PNLS</w:t>
            </w:r>
          </w:p>
        </w:tc>
        <w:tc>
          <w:tcPr>
            <w:tcW w:w="0" w:type="auto"/>
            <w:tcBorders>
              <w:top w:val="nil"/>
              <w:left w:val="nil"/>
              <w:bottom w:val="single" w:sz="4" w:space="0" w:color="000000"/>
              <w:right w:val="single" w:sz="4" w:space="0" w:color="000000"/>
            </w:tcBorders>
            <w:shd w:val="clear" w:color="auto" w:fill="auto"/>
          </w:tcPr>
          <w:p w:rsidR="009C3783" w:rsidRPr="002A7199" w:rsidRDefault="009C3783"/>
        </w:tc>
        <w:tc>
          <w:tcPr>
            <w:tcW w:w="0" w:type="auto"/>
            <w:tcBorders>
              <w:top w:val="nil"/>
              <w:left w:val="nil"/>
              <w:bottom w:val="single" w:sz="4" w:space="0" w:color="000000"/>
              <w:right w:val="single" w:sz="4" w:space="0" w:color="000000"/>
            </w:tcBorders>
            <w:shd w:val="clear" w:color="auto" w:fill="FFFFFF"/>
          </w:tcPr>
          <w:p w:rsidR="009C3783" w:rsidRPr="002A7199" w:rsidRDefault="009C3783"/>
        </w:tc>
        <w:tc>
          <w:tcPr>
            <w:tcW w:w="0" w:type="auto"/>
            <w:tcBorders>
              <w:top w:val="single" w:sz="4" w:space="0" w:color="000000"/>
              <w:left w:val="nil"/>
              <w:bottom w:val="single" w:sz="4" w:space="0" w:color="000000"/>
              <w:right w:val="single" w:sz="4" w:space="0" w:color="000000"/>
            </w:tcBorders>
            <w:shd w:val="clear" w:color="auto" w:fill="FFFF00"/>
          </w:tcPr>
          <w:p w:rsidR="009C3783" w:rsidRPr="002A7199" w:rsidRDefault="009C3783"/>
        </w:tc>
        <w:tc>
          <w:tcPr>
            <w:tcW w:w="0" w:type="auto"/>
            <w:tcBorders>
              <w:top w:val="single" w:sz="4" w:space="0" w:color="000000"/>
              <w:left w:val="nil"/>
              <w:bottom w:val="single" w:sz="4" w:space="0" w:color="000000"/>
              <w:right w:val="single" w:sz="4" w:space="0" w:color="000000"/>
            </w:tcBorders>
            <w:shd w:val="clear" w:color="auto" w:fill="FFFFFF"/>
          </w:tcPr>
          <w:p w:rsidR="009C3783" w:rsidRPr="002A7199" w:rsidRDefault="009C3783"/>
        </w:tc>
        <w:tc>
          <w:tcPr>
            <w:tcW w:w="0" w:type="auto"/>
            <w:tcBorders>
              <w:top w:val="nil"/>
              <w:left w:val="nil"/>
              <w:bottom w:val="single" w:sz="4" w:space="0" w:color="000000"/>
              <w:right w:val="single" w:sz="4" w:space="0" w:color="000000"/>
            </w:tcBorders>
          </w:tcPr>
          <w:p w:rsidR="009C3783" w:rsidRPr="002A7199" w:rsidRDefault="009C3783"/>
        </w:tc>
        <w:tc>
          <w:tcPr>
            <w:tcW w:w="0" w:type="auto"/>
            <w:tcBorders>
              <w:top w:val="nil"/>
              <w:left w:val="nil"/>
              <w:bottom w:val="single" w:sz="4" w:space="0" w:color="000000"/>
              <w:right w:val="single" w:sz="8" w:space="0" w:color="000000"/>
            </w:tcBorders>
          </w:tcPr>
          <w:p w:rsidR="009C3783" w:rsidRPr="002A7199" w:rsidRDefault="009C3783"/>
        </w:tc>
        <w:tc>
          <w:tcPr>
            <w:tcW w:w="0" w:type="auto"/>
            <w:tcBorders>
              <w:top w:val="nil"/>
              <w:left w:val="nil"/>
              <w:bottom w:val="single" w:sz="4" w:space="0" w:color="000000"/>
              <w:right w:val="single" w:sz="8" w:space="0" w:color="000000"/>
            </w:tcBorders>
          </w:tcPr>
          <w:p w:rsidR="009C3783" w:rsidRPr="002A7199" w:rsidRDefault="009C3783"/>
        </w:tc>
        <w:tc>
          <w:tcPr>
            <w:tcW w:w="0" w:type="auto"/>
            <w:tcBorders>
              <w:top w:val="nil"/>
              <w:left w:val="nil"/>
              <w:bottom w:val="single" w:sz="4" w:space="0" w:color="000000"/>
              <w:right w:val="single" w:sz="8" w:space="0" w:color="000000"/>
            </w:tcBorders>
          </w:tcPr>
          <w:p w:rsidR="009C3783" w:rsidRPr="002A7199" w:rsidRDefault="009C3783"/>
        </w:tc>
      </w:tr>
      <w:tr w:rsidR="002A7199" w:rsidRPr="002A7199">
        <w:trPr>
          <w:trHeight w:val="570"/>
        </w:trPr>
        <w:tc>
          <w:tcPr>
            <w:tcW w:w="0" w:type="auto"/>
            <w:tcBorders>
              <w:top w:val="nil"/>
              <w:left w:val="single" w:sz="8" w:space="0" w:color="000000"/>
              <w:bottom w:val="single" w:sz="4" w:space="0" w:color="000000"/>
              <w:right w:val="single" w:sz="4" w:space="0" w:color="000000"/>
            </w:tcBorders>
            <w:shd w:val="clear" w:color="auto" w:fill="auto"/>
          </w:tcPr>
          <w:p w:rsidR="009C3783" w:rsidRPr="002A7199" w:rsidRDefault="00D3387E">
            <w:r w:rsidRPr="002A7199">
              <w:t>Rédaction de la première ébauche du rapport REDES 2025</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pPr>
              <w:jc w:val="center"/>
            </w:pPr>
            <w:r w:rsidRPr="002A7199">
              <w:t>Consultant</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FFFF00"/>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FFFF00"/>
          </w:tcPr>
          <w:p w:rsidR="009C3783" w:rsidRPr="002A7199" w:rsidRDefault="00D3387E">
            <w:r w:rsidRPr="002A7199">
              <w:t> </w:t>
            </w:r>
          </w:p>
        </w:tc>
        <w:tc>
          <w:tcPr>
            <w:tcW w:w="0" w:type="auto"/>
            <w:tcBorders>
              <w:top w:val="nil"/>
              <w:left w:val="nil"/>
              <w:bottom w:val="single" w:sz="4" w:space="0" w:color="000000"/>
              <w:right w:val="single" w:sz="8" w:space="0" w:color="000000"/>
            </w:tcBorders>
          </w:tcPr>
          <w:p w:rsidR="009C3783" w:rsidRPr="002A7199" w:rsidRDefault="00D3387E">
            <w:r w:rsidRPr="002A7199">
              <w:t> </w:t>
            </w:r>
          </w:p>
        </w:tc>
        <w:tc>
          <w:tcPr>
            <w:tcW w:w="0" w:type="auto"/>
            <w:tcBorders>
              <w:top w:val="nil"/>
              <w:left w:val="nil"/>
              <w:bottom w:val="single" w:sz="4" w:space="0" w:color="000000"/>
              <w:right w:val="single" w:sz="8" w:space="0" w:color="000000"/>
            </w:tcBorders>
          </w:tcPr>
          <w:p w:rsidR="009C3783" w:rsidRPr="002A7199" w:rsidRDefault="009C3783"/>
        </w:tc>
        <w:tc>
          <w:tcPr>
            <w:tcW w:w="0" w:type="auto"/>
            <w:tcBorders>
              <w:top w:val="nil"/>
              <w:left w:val="nil"/>
              <w:bottom w:val="single" w:sz="4" w:space="0" w:color="000000"/>
              <w:right w:val="single" w:sz="8" w:space="0" w:color="000000"/>
            </w:tcBorders>
          </w:tcPr>
          <w:p w:rsidR="009C3783" w:rsidRPr="002A7199" w:rsidRDefault="009C3783"/>
        </w:tc>
      </w:tr>
      <w:tr w:rsidR="002A7199" w:rsidRPr="002A7199">
        <w:trPr>
          <w:trHeight w:val="870"/>
        </w:trPr>
        <w:tc>
          <w:tcPr>
            <w:tcW w:w="0" w:type="auto"/>
            <w:tcBorders>
              <w:top w:val="nil"/>
              <w:left w:val="single" w:sz="8" w:space="0" w:color="000000"/>
              <w:bottom w:val="single" w:sz="4" w:space="0" w:color="000000"/>
              <w:right w:val="single" w:sz="4" w:space="0" w:color="000000"/>
            </w:tcBorders>
            <w:shd w:val="clear" w:color="auto" w:fill="auto"/>
          </w:tcPr>
          <w:p w:rsidR="009C3783" w:rsidRPr="002A7199" w:rsidRDefault="00D3387E">
            <w:r w:rsidRPr="002A7199">
              <w:lastRenderedPageBreak/>
              <w:t xml:space="preserve">Soumission du </w:t>
            </w:r>
            <w:proofErr w:type="spellStart"/>
            <w:r w:rsidRPr="002A7199">
              <w:t>draft</w:t>
            </w:r>
            <w:proofErr w:type="spellEnd"/>
            <w:r w:rsidRPr="002A7199">
              <w:t xml:space="preserve"> de rapport </w:t>
            </w:r>
          </w:p>
          <w:p w:rsidR="009C3783" w:rsidRPr="002A7199" w:rsidRDefault="009C3783"/>
          <w:p w:rsidR="009C3783" w:rsidRPr="002A7199" w:rsidRDefault="00D3387E">
            <w:r w:rsidRPr="002A7199">
              <w:t xml:space="preserve">Rencontre avec la coordination Technique du PNLS et World Vision sur la présentation de la première ébauche du rapport REDES 2025                                                                                                                                                                                                                                                                                                                                                                                                                                                                                                                                                                                                                                                                                                                                                                                                                                                                                                                                                                                                                                                    Coordination Technique du PNLS et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pPr>
              <w:jc w:val="center"/>
            </w:pPr>
            <w:r w:rsidRPr="002A7199">
              <w:t>Consultant</w:t>
            </w:r>
          </w:p>
          <w:p w:rsidR="009C3783" w:rsidRPr="002A7199" w:rsidRDefault="009C3783">
            <w:pPr>
              <w:jc w:val="center"/>
            </w:pPr>
          </w:p>
          <w:p w:rsidR="009C3783" w:rsidRPr="002A7199" w:rsidRDefault="009C3783">
            <w:pPr>
              <w:jc w:val="center"/>
            </w:pP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FFFFFF"/>
          </w:tcPr>
          <w:p w:rsidR="009C3783" w:rsidRPr="002A7199" w:rsidRDefault="00D3387E">
            <w:r w:rsidRPr="002A7199">
              <w:t> </w:t>
            </w:r>
          </w:p>
        </w:tc>
        <w:tc>
          <w:tcPr>
            <w:tcW w:w="0" w:type="auto"/>
            <w:tcBorders>
              <w:top w:val="nil"/>
              <w:left w:val="nil"/>
              <w:bottom w:val="single" w:sz="4" w:space="0" w:color="000000"/>
              <w:right w:val="single" w:sz="8" w:space="0" w:color="000000"/>
            </w:tcBorders>
            <w:shd w:val="clear" w:color="auto" w:fill="FFFF00"/>
          </w:tcPr>
          <w:p w:rsidR="009C3783" w:rsidRPr="002A7199" w:rsidRDefault="00D3387E">
            <w:r w:rsidRPr="002A7199">
              <w:t> </w:t>
            </w:r>
          </w:p>
        </w:tc>
        <w:tc>
          <w:tcPr>
            <w:tcW w:w="0" w:type="auto"/>
            <w:tcBorders>
              <w:top w:val="nil"/>
              <w:left w:val="nil"/>
              <w:bottom w:val="single" w:sz="4" w:space="0" w:color="000000"/>
              <w:right w:val="single" w:sz="8" w:space="0" w:color="000000"/>
            </w:tcBorders>
          </w:tcPr>
          <w:p w:rsidR="009C3783" w:rsidRPr="002A7199" w:rsidRDefault="009C3783"/>
        </w:tc>
        <w:tc>
          <w:tcPr>
            <w:tcW w:w="0" w:type="auto"/>
            <w:tcBorders>
              <w:top w:val="nil"/>
              <w:left w:val="nil"/>
              <w:bottom w:val="single" w:sz="4" w:space="0" w:color="000000"/>
              <w:right w:val="single" w:sz="8" w:space="0" w:color="000000"/>
            </w:tcBorders>
          </w:tcPr>
          <w:p w:rsidR="009C3783" w:rsidRPr="002A7199" w:rsidRDefault="009C3783"/>
        </w:tc>
      </w:tr>
      <w:tr w:rsidR="002A7199" w:rsidRPr="002A7199">
        <w:trPr>
          <w:trHeight w:val="870"/>
        </w:trPr>
        <w:tc>
          <w:tcPr>
            <w:tcW w:w="0" w:type="auto"/>
            <w:tcBorders>
              <w:top w:val="nil"/>
              <w:left w:val="single" w:sz="8" w:space="0" w:color="000000"/>
              <w:bottom w:val="single" w:sz="4" w:space="0" w:color="000000"/>
              <w:right w:val="single" w:sz="4" w:space="0" w:color="000000"/>
            </w:tcBorders>
            <w:shd w:val="clear" w:color="auto" w:fill="auto"/>
          </w:tcPr>
          <w:p w:rsidR="009C3783" w:rsidRPr="002A7199" w:rsidRDefault="00D3387E">
            <w:r w:rsidRPr="002A7199">
              <w:t xml:space="preserve">Soumission deuxième </w:t>
            </w:r>
            <w:proofErr w:type="spellStart"/>
            <w:r w:rsidRPr="002A7199">
              <w:t>draft</w:t>
            </w:r>
            <w:proofErr w:type="spellEnd"/>
            <w:r w:rsidRPr="002A7199">
              <w:t xml:space="preserve"> après correction</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pPr>
              <w:jc w:val="center"/>
            </w:pPr>
            <w:r w:rsidRPr="002A7199">
              <w:t>Consultant</w:t>
            </w:r>
          </w:p>
        </w:tc>
        <w:tc>
          <w:tcPr>
            <w:tcW w:w="0" w:type="auto"/>
            <w:tcBorders>
              <w:top w:val="nil"/>
              <w:left w:val="nil"/>
              <w:bottom w:val="single" w:sz="4" w:space="0" w:color="000000"/>
              <w:right w:val="single" w:sz="4" w:space="0" w:color="000000"/>
            </w:tcBorders>
            <w:shd w:val="clear" w:color="auto" w:fill="auto"/>
          </w:tcPr>
          <w:p w:rsidR="009C3783" w:rsidRPr="002A7199" w:rsidRDefault="009C3783"/>
        </w:tc>
        <w:tc>
          <w:tcPr>
            <w:tcW w:w="0" w:type="auto"/>
            <w:tcBorders>
              <w:top w:val="nil"/>
              <w:left w:val="nil"/>
              <w:bottom w:val="single" w:sz="4" w:space="0" w:color="000000"/>
              <w:right w:val="single" w:sz="4" w:space="0" w:color="000000"/>
            </w:tcBorders>
            <w:shd w:val="clear" w:color="auto" w:fill="auto"/>
          </w:tcPr>
          <w:p w:rsidR="009C3783" w:rsidRPr="002A7199" w:rsidRDefault="009C3783"/>
        </w:tc>
        <w:tc>
          <w:tcPr>
            <w:tcW w:w="0" w:type="auto"/>
            <w:tcBorders>
              <w:top w:val="nil"/>
              <w:left w:val="nil"/>
              <w:bottom w:val="single" w:sz="4" w:space="0" w:color="000000"/>
              <w:right w:val="single" w:sz="4" w:space="0" w:color="000000"/>
            </w:tcBorders>
            <w:shd w:val="clear" w:color="auto" w:fill="auto"/>
          </w:tcPr>
          <w:p w:rsidR="009C3783" w:rsidRPr="002A7199" w:rsidRDefault="009C3783"/>
        </w:tc>
        <w:tc>
          <w:tcPr>
            <w:tcW w:w="0" w:type="auto"/>
            <w:tcBorders>
              <w:top w:val="nil"/>
              <w:left w:val="nil"/>
              <w:bottom w:val="single" w:sz="4" w:space="0" w:color="000000"/>
              <w:right w:val="single" w:sz="4" w:space="0" w:color="000000"/>
            </w:tcBorders>
            <w:shd w:val="clear" w:color="auto" w:fill="auto"/>
          </w:tcPr>
          <w:p w:rsidR="009C3783" w:rsidRPr="002A7199" w:rsidRDefault="009C3783"/>
        </w:tc>
        <w:tc>
          <w:tcPr>
            <w:tcW w:w="0" w:type="auto"/>
            <w:tcBorders>
              <w:top w:val="nil"/>
              <w:left w:val="nil"/>
              <w:bottom w:val="single" w:sz="4" w:space="0" w:color="000000"/>
              <w:right w:val="single" w:sz="4" w:space="0" w:color="000000"/>
            </w:tcBorders>
            <w:shd w:val="clear" w:color="auto" w:fill="FFFFFF"/>
          </w:tcPr>
          <w:p w:rsidR="009C3783" w:rsidRPr="002A7199" w:rsidRDefault="009C3783"/>
        </w:tc>
        <w:tc>
          <w:tcPr>
            <w:tcW w:w="0" w:type="auto"/>
            <w:tcBorders>
              <w:top w:val="nil"/>
              <w:left w:val="nil"/>
              <w:bottom w:val="single" w:sz="4" w:space="0" w:color="000000"/>
              <w:right w:val="single" w:sz="8" w:space="0" w:color="000000"/>
            </w:tcBorders>
            <w:shd w:val="clear" w:color="auto" w:fill="FFFF00"/>
          </w:tcPr>
          <w:p w:rsidR="009C3783" w:rsidRPr="002A7199" w:rsidRDefault="009C3783"/>
        </w:tc>
        <w:tc>
          <w:tcPr>
            <w:tcW w:w="0" w:type="auto"/>
            <w:tcBorders>
              <w:top w:val="nil"/>
              <w:left w:val="nil"/>
              <w:bottom w:val="single" w:sz="4" w:space="0" w:color="000000"/>
              <w:right w:val="single" w:sz="8" w:space="0" w:color="000000"/>
            </w:tcBorders>
          </w:tcPr>
          <w:p w:rsidR="009C3783" w:rsidRPr="002A7199" w:rsidRDefault="009C3783"/>
        </w:tc>
        <w:tc>
          <w:tcPr>
            <w:tcW w:w="0" w:type="auto"/>
            <w:tcBorders>
              <w:top w:val="nil"/>
              <w:left w:val="nil"/>
              <w:bottom w:val="single" w:sz="4" w:space="0" w:color="000000"/>
              <w:right w:val="single" w:sz="8" w:space="0" w:color="000000"/>
            </w:tcBorders>
          </w:tcPr>
          <w:p w:rsidR="009C3783" w:rsidRPr="002A7199" w:rsidRDefault="009C3783"/>
        </w:tc>
      </w:tr>
      <w:tr w:rsidR="002A7199" w:rsidRPr="002A7199">
        <w:trPr>
          <w:trHeight w:val="585"/>
        </w:trPr>
        <w:tc>
          <w:tcPr>
            <w:tcW w:w="0" w:type="auto"/>
            <w:tcBorders>
              <w:top w:val="nil"/>
              <w:left w:val="single" w:sz="8" w:space="0" w:color="000000"/>
              <w:bottom w:val="single" w:sz="4" w:space="0" w:color="000000"/>
              <w:right w:val="single" w:sz="4" w:space="0" w:color="000000"/>
            </w:tcBorders>
            <w:shd w:val="clear" w:color="auto" w:fill="auto"/>
          </w:tcPr>
          <w:p w:rsidR="009C3783" w:rsidRPr="002A7199" w:rsidRDefault="00D3387E">
            <w:r w:rsidRPr="002A7199">
              <w:t>Organisation rencontre de présentation du rapport REDES 2025 aux partenaires du Programme (format à déterminer)</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pPr>
              <w:jc w:val="center"/>
            </w:pPr>
            <w:r w:rsidRPr="002A7199">
              <w:t>Coordination Technique du PNLS</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8" w:space="0" w:color="000000"/>
            </w:tcBorders>
            <w:shd w:val="clear" w:color="auto" w:fill="FFFFFF"/>
          </w:tcPr>
          <w:p w:rsidR="009C3783" w:rsidRPr="002A7199" w:rsidRDefault="00D3387E">
            <w:r w:rsidRPr="002A7199">
              <w:t> </w:t>
            </w:r>
          </w:p>
        </w:tc>
        <w:tc>
          <w:tcPr>
            <w:tcW w:w="0" w:type="auto"/>
            <w:tcBorders>
              <w:top w:val="nil"/>
              <w:left w:val="nil"/>
              <w:bottom w:val="single" w:sz="4" w:space="0" w:color="000000"/>
              <w:right w:val="single" w:sz="8" w:space="0" w:color="000000"/>
            </w:tcBorders>
            <w:shd w:val="clear" w:color="auto" w:fill="FFFF00"/>
          </w:tcPr>
          <w:p w:rsidR="009C3783" w:rsidRPr="002A7199" w:rsidRDefault="009C3783"/>
        </w:tc>
        <w:tc>
          <w:tcPr>
            <w:tcW w:w="0" w:type="auto"/>
            <w:tcBorders>
              <w:top w:val="nil"/>
              <w:left w:val="nil"/>
              <w:bottom w:val="single" w:sz="4" w:space="0" w:color="000000"/>
              <w:right w:val="single" w:sz="8" w:space="0" w:color="000000"/>
            </w:tcBorders>
            <w:shd w:val="clear" w:color="auto" w:fill="FFFFFF"/>
          </w:tcPr>
          <w:p w:rsidR="009C3783" w:rsidRPr="002A7199" w:rsidRDefault="009C3783"/>
        </w:tc>
      </w:tr>
      <w:tr w:rsidR="002A7199" w:rsidRPr="002A7199">
        <w:trPr>
          <w:trHeight w:val="330"/>
        </w:trPr>
        <w:tc>
          <w:tcPr>
            <w:tcW w:w="0" w:type="auto"/>
            <w:tcBorders>
              <w:top w:val="nil"/>
              <w:left w:val="single" w:sz="8" w:space="0" w:color="000000"/>
              <w:bottom w:val="single" w:sz="4" w:space="0" w:color="000000"/>
              <w:right w:val="single" w:sz="4" w:space="0" w:color="000000"/>
            </w:tcBorders>
            <w:shd w:val="clear" w:color="auto" w:fill="auto"/>
          </w:tcPr>
          <w:p w:rsidR="009C3783" w:rsidRPr="002A7199" w:rsidRDefault="00D3387E">
            <w:r w:rsidRPr="002A7199">
              <w:t>Rédaction du rapport final REDES 2025</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pPr>
              <w:jc w:val="center"/>
            </w:pPr>
            <w:r w:rsidRPr="002A7199">
              <w:t>Consultant</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4" w:space="0" w:color="000000"/>
              <w:right w:val="single" w:sz="8" w:space="0" w:color="000000"/>
            </w:tcBorders>
            <w:shd w:val="clear" w:color="auto" w:fill="FFFFFF"/>
          </w:tcPr>
          <w:p w:rsidR="009C3783" w:rsidRPr="002A7199" w:rsidRDefault="00D3387E">
            <w:r w:rsidRPr="002A7199">
              <w:t> </w:t>
            </w:r>
          </w:p>
        </w:tc>
        <w:tc>
          <w:tcPr>
            <w:tcW w:w="0" w:type="auto"/>
            <w:tcBorders>
              <w:top w:val="nil"/>
              <w:left w:val="nil"/>
              <w:bottom w:val="single" w:sz="4" w:space="0" w:color="000000"/>
              <w:right w:val="single" w:sz="8" w:space="0" w:color="000000"/>
            </w:tcBorders>
            <w:shd w:val="clear" w:color="auto" w:fill="FFFF00"/>
          </w:tcPr>
          <w:p w:rsidR="009C3783" w:rsidRPr="002A7199" w:rsidRDefault="009C3783"/>
        </w:tc>
        <w:tc>
          <w:tcPr>
            <w:tcW w:w="0" w:type="auto"/>
            <w:tcBorders>
              <w:top w:val="nil"/>
              <w:left w:val="nil"/>
              <w:bottom w:val="single" w:sz="4" w:space="0" w:color="000000"/>
              <w:right w:val="single" w:sz="8" w:space="0" w:color="000000"/>
            </w:tcBorders>
            <w:shd w:val="clear" w:color="auto" w:fill="FFFFFF"/>
          </w:tcPr>
          <w:p w:rsidR="009C3783" w:rsidRPr="002A7199" w:rsidRDefault="009C3783"/>
        </w:tc>
      </w:tr>
      <w:tr w:rsidR="002A7199" w:rsidRPr="002A7199">
        <w:trPr>
          <w:trHeight w:val="840"/>
        </w:trPr>
        <w:tc>
          <w:tcPr>
            <w:tcW w:w="0" w:type="auto"/>
            <w:tcBorders>
              <w:top w:val="nil"/>
              <w:left w:val="single" w:sz="8" w:space="0" w:color="000000"/>
              <w:bottom w:val="single" w:sz="8" w:space="0" w:color="000000"/>
              <w:right w:val="single" w:sz="4" w:space="0" w:color="000000"/>
            </w:tcBorders>
            <w:shd w:val="clear" w:color="auto" w:fill="auto"/>
          </w:tcPr>
          <w:p w:rsidR="009C3783" w:rsidRPr="002A7199" w:rsidRDefault="00D3387E">
            <w:r w:rsidRPr="002A7199">
              <w:t>Fin de la consultation et paiement de la dernière tranche en fonction des clauses du contrat avec le consultant sur rapport REDES 2025</w:t>
            </w:r>
          </w:p>
        </w:tc>
        <w:tc>
          <w:tcPr>
            <w:tcW w:w="0" w:type="auto"/>
            <w:tcBorders>
              <w:top w:val="nil"/>
              <w:left w:val="nil"/>
              <w:bottom w:val="single" w:sz="8" w:space="0" w:color="000000"/>
              <w:right w:val="single" w:sz="4" w:space="0" w:color="000000"/>
            </w:tcBorders>
            <w:shd w:val="clear" w:color="auto" w:fill="auto"/>
          </w:tcPr>
          <w:p w:rsidR="009C3783" w:rsidRPr="002A7199" w:rsidRDefault="00D3387E">
            <w:pPr>
              <w:jc w:val="center"/>
            </w:pPr>
            <w:r w:rsidRPr="002A7199">
              <w:t>Coordination Technique du PNLS</w:t>
            </w:r>
          </w:p>
        </w:tc>
        <w:tc>
          <w:tcPr>
            <w:tcW w:w="0" w:type="auto"/>
            <w:tcBorders>
              <w:top w:val="nil"/>
              <w:left w:val="nil"/>
              <w:bottom w:val="single" w:sz="8"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8"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8"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8"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8" w:space="0" w:color="000000"/>
              <w:right w:val="single" w:sz="4" w:space="0" w:color="000000"/>
            </w:tcBorders>
            <w:shd w:val="clear" w:color="auto" w:fill="auto"/>
          </w:tcPr>
          <w:p w:rsidR="009C3783" w:rsidRPr="002A7199" w:rsidRDefault="00D3387E">
            <w:r w:rsidRPr="002A7199">
              <w:t> </w:t>
            </w:r>
          </w:p>
        </w:tc>
        <w:tc>
          <w:tcPr>
            <w:tcW w:w="0" w:type="auto"/>
            <w:tcBorders>
              <w:top w:val="nil"/>
              <w:left w:val="nil"/>
              <w:bottom w:val="single" w:sz="8" w:space="0" w:color="000000"/>
              <w:right w:val="single" w:sz="8" w:space="0" w:color="000000"/>
            </w:tcBorders>
            <w:shd w:val="clear" w:color="auto" w:fill="FFFFFF"/>
          </w:tcPr>
          <w:p w:rsidR="009C3783" w:rsidRPr="002A7199" w:rsidRDefault="00D3387E">
            <w:r w:rsidRPr="002A7199">
              <w:t> </w:t>
            </w:r>
          </w:p>
        </w:tc>
        <w:tc>
          <w:tcPr>
            <w:tcW w:w="0" w:type="auto"/>
            <w:tcBorders>
              <w:top w:val="nil"/>
              <w:left w:val="nil"/>
              <w:bottom w:val="single" w:sz="8" w:space="0" w:color="000000"/>
              <w:right w:val="single" w:sz="8" w:space="0" w:color="000000"/>
            </w:tcBorders>
            <w:shd w:val="clear" w:color="auto" w:fill="FFFFFF"/>
          </w:tcPr>
          <w:p w:rsidR="009C3783" w:rsidRPr="002A7199" w:rsidRDefault="009C3783"/>
        </w:tc>
        <w:tc>
          <w:tcPr>
            <w:tcW w:w="0" w:type="auto"/>
            <w:tcBorders>
              <w:top w:val="nil"/>
              <w:left w:val="nil"/>
              <w:bottom w:val="single" w:sz="8" w:space="0" w:color="000000"/>
              <w:right w:val="single" w:sz="8" w:space="0" w:color="000000"/>
            </w:tcBorders>
            <w:shd w:val="clear" w:color="auto" w:fill="FFFF00"/>
          </w:tcPr>
          <w:p w:rsidR="009C3783" w:rsidRPr="002A7199" w:rsidRDefault="009C3783"/>
        </w:tc>
      </w:tr>
      <w:tr w:rsidR="002A7199" w:rsidRPr="002A7199">
        <w:trPr>
          <w:trHeight w:val="840"/>
        </w:trPr>
        <w:tc>
          <w:tcPr>
            <w:tcW w:w="0" w:type="auto"/>
            <w:tcBorders>
              <w:top w:val="nil"/>
              <w:left w:val="single" w:sz="8" w:space="0" w:color="000000"/>
              <w:bottom w:val="single" w:sz="8" w:space="0" w:color="000000"/>
              <w:right w:val="single" w:sz="4" w:space="0" w:color="000000"/>
            </w:tcBorders>
            <w:shd w:val="clear" w:color="auto" w:fill="auto"/>
          </w:tcPr>
          <w:p w:rsidR="009C3783" w:rsidRPr="002A7199" w:rsidRDefault="00D3387E">
            <w:r w:rsidRPr="002A7199">
              <w:t>Impression et diffusion du rapport à a tous les concernés</w:t>
            </w:r>
          </w:p>
        </w:tc>
        <w:tc>
          <w:tcPr>
            <w:tcW w:w="0" w:type="auto"/>
            <w:tcBorders>
              <w:top w:val="nil"/>
              <w:left w:val="nil"/>
              <w:bottom w:val="single" w:sz="8" w:space="0" w:color="000000"/>
              <w:right w:val="single" w:sz="4" w:space="0" w:color="000000"/>
            </w:tcBorders>
            <w:shd w:val="clear" w:color="auto" w:fill="auto"/>
          </w:tcPr>
          <w:p w:rsidR="009C3783" w:rsidRPr="002A7199" w:rsidRDefault="009C3783">
            <w:pPr>
              <w:jc w:val="center"/>
            </w:pPr>
          </w:p>
        </w:tc>
        <w:tc>
          <w:tcPr>
            <w:tcW w:w="0" w:type="auto"/>
            <w:tcBorders>
              <w:top w:val="nil"/>
              <w:left w:val="nil"/>
              <w:bottom w:val="single" w:sz="8" w:space="0" w:color="000000"/>
              <w:right w:val="single" w:sz="4" w:space="0" w:color="000000"/>
            </w:tcBorders>
            <w:shd w:val="clear" w:color="auto" w:fill="auto"/>
          </w:tcPr>
          <w:p w:rsidR="009C3783" w:rsidRPr="002A7199" w:rsidRDefault="009C3783"/>
        </w:tc>
        <w:tc>
          <w:tcPr>
            <w:tcW w:w="0" w:type="auto"/>
            <w:tcBorders>
              <w:top w:val="nil"/>
              <w:left w:val="nil"/>
              <w:bottom w:val="single" w:sz="8" w:space="0" w:color="000000"/>
              <w:right w:val="single" w:sz="4" w:space="0" w:color="000000"/>
            </w:tcBorders>
            <w:shd w:val="clear" w:color="auto" w:fill="auto"/>
          </w:tcPr>
          <w:p w:rsidR="009C3783" w:rsidRPr="002A7199" w:rsidRDefault="009C3783"/>
        </w:tc>
        <w:tc>
          <w:tcPr>
            <w:tcW w:w="0" w:type="auto"/>
            <w:tcBorders>
              <w:top w:val="nil"/>
              <w:left w:val="nil"/>
              <w:bottom w:val="single" w:sz="8" w:space="0" w:color="000000"/>
              <w:right w:val="single" w:sz="4" w:space="0" w:color="000000"/>
            </w:tcBorders>
            <w:shd w:val="clear" w:color="auto" w:fill="auto"/>
          </w:tcPr>
          <w:p w:rsidR="009C3783" w:rsidRPr="002A7199" w:rsidRDefault="009C3783"/>
        </w:tc>
        <w:tc>
          <w:tcPr>
            <w:tcW w:w="0" w:type="auto"/>
            <w:tcBorders>
              <w:top w:val="nil"/>
              <w:left w:val="nil"/>
              <w:bottom w:val="single" w:sz="8" w:space="0" w:color="000000"/>
              <w:right w:val="single" w:sz="4" w:space="0" w:color="000000"/>
            </w:tcBorders>
            <w:shd w:val="clear" w:color="auto" w:fill="auto"/>
          </w:tcPr>
          <w:p w:rsidR="009C3783" w:rsidRPr="002A7199" w:rsidRDefault="009C3783"/>
        </w:tc>
        <w:tc>
          <w:tcPr>
            <w:tcW w:w="0" w:type="auto"/>
            <w:tcBorders>
              <w:top w:val="nil"/>
              <w:left w:val="nil"/>
              <w:bottom w:val="single" w:sz="8" w:space="0" w:color="000000"/>
              <w:right w:val="single" w:sz="4" w:space="0" w:color="000000"/>
            </w:tcBorders>
            <w:shd w:val="clear" w:color="auto" w:fill="auto"/>
          </w:tcPr>
          <w:p w:rsidR="009C3783" w:rsidRPr="002A7199" w:rsidRDefault="009C3783"/>
        </w:tc>
        <w:tc>
          <w:tcPr>
            <w:tcW w:w="0" w:type="auto"/>
            <w:tcBorders>
              <w:top w:val="nil"/>
              <w:left w:val="nil"/>
              <w:bottom w:val="single" w:sz="8" w:space="0" w:color="000000"/>
              <w:right w:val="single" w:sz="8" w:space="0" w:color="000000"/>
            </w:tcBorders>
            <w:shd w:val="clear" w:color="auto" w:fill="FFFFFF"/>
          </w:tcPr>
          <w:p w:rsidR="009C3783" w:rsidRPr="002A7199" w:rsidRDefault="009C3783"/>
        </w:tc>
        <w:tc>
          <w:tcPr>
            <w:tcW w:w="0" w:type="auto"/>
            <w:tcBorders>
              <w:top w:val="nil"/>
              <w:left w:val="nil"/>
              <w:bottom w:val="single" w:sz="8" w:space="0" w:color="000000"/>
              <w:right w:val="single" w:sz="8" w:space="0" w:color="000000"/>
            </w:tcBorders>
            <w:shd w:val="clear" w:color="auto" w:fill="FFFFFF"/>
          </w:tcPr>
          <w:p w:rsidR="009C3783" w:rsidRPr="002A7199" w:rsidRDefault="009C3783"/>
        </w:tc>
        <w:tc>
          <w:tcPr>
            <w:tcW w:w="0" w:type="auto"/>
            <w:tcBorders>
              <w:top w:val="nil"/>
              <w:left w:val="nil"/>
              <w:bottom w:val="single" w:sz="8" w:space="0" w:color="000000"/>
              <w:right w:val="single" w:sz="8" w:space="0" w:color="000000"/>
            </w:tcBorders>
            <w:shd w:val="clear" w:color="auto" w:fill="FFFF00"/>
          </w:tcPr>
          <w:p w:rsidR="009C3783" w:rsidRPr="002A7199" w:rsidRDefault="009C3783"/>
        </w:tc>
      </w:tr>
    </w:tbl>
    <w:p w:rsidR="009C3783" w:rsidRPr="002A7199" w:rsidRDefault="00D3387E">
      <w:pPr>
        <w:numPr>
          <w:ilvl w:val="0"/>
          <w:numId w:val="7"/>
        </w:numPr>
        <w:spacing w:after="120"/>
        <w:jc w:val="both"/>
      </w:pPr>
      <w:r w:rsidRPr="002A7199">
        <w:rPr>
          <w:b/>
        </w:rPr>
        <w:t>Responsabilités du consultant</w:t>
      </w:r>
    </w:p>
    <w:p w:rsidR="009C3783" w:rsidRPr="002A7199" w:rsidRDefault="00D3387E">
      <w:pPr>
        <w:numPr>
          <w:ilvl w:val="0"/>
          <w:numId w:val="3"/>
        </w:numPr>
        <w:spacing w:after="120"/>
        <w:jc w:val="both"/>
      </w:pPr>
      <w:r w:rsidRPr="002A7199">
        <w:t>Se familiariser avec les documents sur la méthodologie « </w:t>
      </w:r>
      <w:r w:rsidRPr="002A7199">
        <w:rPr>
          <w:b/>
        </w:rPr>
        <w:t>NASA</w:t>
      </w:r>
      <w:r w:rsidRPr="002A7199">
        <w:t> » de l’ONUSIDA.</w:t>
      </w:r>
    </w:p>
    <w:p w:rsidR="009C3783" w:rsidRPr="002A7199" w:rsidRDefault="00D3387E">
      <w:pPr>
        <w:numPr>
          <w:ilvl w:val="0"/>
          <w:numId w:val="3"/>
        </w:numPr>
        <w:spacing w:after="120"/>
        <w:jc w:val="both"/>
      </w:pPr>
      <w:r w:rsidRPr="002A7199">
        <w:t>Mettre en œuvre le « </w:t>
      </w:r>
      <w:r w:rsidRPr="002A7199">
        <w:rPr>
          <w:b/>
        </w:rPr>
        <w:t>NASA</w:t>
      </w:r>
      <w:r w:rsidRPr="002A7199">
        <w:t> » avec l’appui technique de l’UEP/MSPP (Unité d’Etudes et de Programmation), ONUSIDA Haïti et la Coordination Technique du PNLS.</w:t>
      </w:r>
    </w:p>
    <w:p w:rsidR="009C3783" w:rsidRPr="002A7199" w:rsidRDefault="00D3387E">
      <w:pPr>
        <w:numPr>
          <w:ilvl w:val="0"/>
          <w:numId w:val="3"/>
        </w:numPr>
        <w:spacing w:after="120"/>
        <w:jc w:val="both"/>
      </w:pPr>
      <w:r w:rsidRPr="002A7199">
        <w:t xml:space="preserve">Faire le suivi avec les partenaires qui ont fourni les informations pour les clarifications sur les données transmises. </w:t>
      </w:r>
    </w:p>
    <w:p w:rsidR="009C3783" w:rsidRPr="002A7199" w:rsidRDefault="00D3387E">
      <w:pPr>
        <w:numPr>
          <w:ilvl w:val="0"/>
          <w:numId w:val="3"/>
        </w:numPr>
        <w:spacing w:after="120"/>
        <w:jc w:val="both"/>
      </w:pPr>
      <w:r w:rsidRPr="002A7199">
        <w:t>Réaliser des rencontres au besoin avec les Partenaires sur l'évolution de la collecte</w:t>
      </w:r>
    </w:p>
    <w:p w:rsidR="009C3783" w:rsidRPr="002A7199" w:rsidRDefault="00D3387E">
      <w:pPr>
        <w:numPr>
          <w:ilvl w:val="0"/>
          <w:numId w:val="3"/>
        </w:numPr>
        <w:spacing w:after="120"/>
        <w:jc w:val="both"/>
      </w:pPr>
      <w:proofErr w:type="gramStart"/>
      <w:r w:rsidRPr="002A7199">
        <w:t>Impliquer ,</w:t>
      </w:r>
      <w:proofErr w:type="gramEnd"/>
      <w:r w:rsidRPr="002A7199">
        <w:t xml:space="preserve"> informer, et interagir  à temps avec  la responsable du service suivi et évaluation de la Coordination Technique du PNLS sur l’avancement de la consultation en cours. </w:t>
      </w:r>
    </w:p>
    <w:p w:rsidR="009C3783" w:rsidRPr="002A7199" w:rsidRDefault="00D3387E">
      <w:pPr>
        <w:numPr>
          <w:ilvl w:val="0"/>
          <w:numId w:val="3"/>
        </w:numPr>
        <w:spacing w:after="120"/>
        <w:jc w:val="both"/>
      </w:pPr>
      <w:r w:rsidRPr="002A7199">
        <w:t>Élaborer un rapport préliminaire avec les données obtenues selon le guide de l’ONUSIDA.</w:t>
      </w:r>
    </w:p>
    <w:p w:rsidR="009C3783" w:rsidRPr="002A7199" w:rsidRDefault="00D3387E">
      <w:pPr>
        <w:numPr>
          <w:ilvl w:val="0"/>
          <w:numId w:val="3"/>
        </w:numPr>
        <w:spacing w:after="120"/>
        <w:jc w:val="both"/>
      </w:pPr>
      <w:r w:rsidRPr="002A7199">
        <w:t xml:space="preserve">Faire une présentation en Powerpoint sur les résultats de l’enquête </w:t>
      </w:r>
      <w:r w:rsidRPr="002A7199">
        <w:rPr>
          <w:b/>
        </w:rPr>
        <w:t>NASA</w:t>
      </w:r>
      <w:r w:rsidRPr="002A7199">
        <w:t xml:space="preserve"> pour l’</w:t>
      </w:r>
      <w:proofErr w:type="spellStart"/>
      <w:r w:rsidRPr="002A7199">
        <w:t>equipe</w:t>
      </w:r>
      <w:proofErr w:type="spellEnd"/>
      <w:r w:rsidRPr="002A7199">
        <w:t xml:space="preserve"> de la coordination du PNLS </w:t>
      </w:r>
    </w:p>
    <w:p w:rsidR="009C3783" w:rsidRPr="002A7199" w:rsidRDefault="00D3387E">
      <w:pPr>
        <w:numPr>
          <w:ilvl w:val="0"/>
          <w:numId w:val="3"/>
        </w:numPr>
        <w:spacing w:after="120"/>
        <w:jc w:val="both"/>
      </w:pPr>
      <w:r w:rsidRPr="002A7199">
        <w:t xml:space="preserve">Présenter le rapport final REDES a tous les Partenaires du programme y compris les agences Onusiennes </w:t>
      </w:r>
    </w:p>
    <w:p w:rsidR="009C3783" w:rsidRPr="002A7199" w:rsidRDefault="00D3387E">
      <w:pPr>
        <w:numPr>
          <w:ilvl w:val="0"/>
          <w:numId w:val="3"/>
        </w:numPr>
        <w:spacing w:after="120"/>
        <w:jc w:val="both"/>
      </w:pPr>
      <w:r w:rsidRPr="002A7199">
        <w:t xml:space="preserve">Élaborer le rapport final REDES 2025 tout en tenant compte des recommandations et corrections après  la présentation aux différentes parties prenantes. </w:t>
      </w:r>
    </w:p>
    <w:p w:rsidR="009C3783" w:rsidRPr="002A7199" w:rsidRDefault="00D3387E">
      <w:pPr>
        <w:numPr>
          <w:ilvl w:val="0"/>
          <w:numId w:val="3"/>
        </w:numPr>
        <w:spacing w:after="120"/>
        <w:jc w:val="both"/>
      </w:pPr>
      <w:r w:rsidRPr="002A7199">
        <w:t>Assurer un bon  formatage  du  rapport final pour faciliter l’impression</w:t>
      </w:r>
    </w:p>
    <w:p w:rsidR="009C3783" w:rsidRPr="002A7199" w:rsidRDefault="009C3783">
      <w:pPr>
        <w:spacing w:after="120"/>
      </w:pPr>
    </w:p>
    <w:p w:rsidR="009C3783" w:rsidRPr="002A7199" w:rsidRDefault="00D3387E">
      <w:pPr>
        <w:numPr>
          <w:ilvl w:val="0"/>
          <w:numId w:val="7"/>
        </w:numPr>
        <w:spacing w:after="120"/>
      </w:pPr>
      <w:r w:rsidRPr="002A7199">
        <w:rPr>
          <w:b/>
        </w:rPr>
        <w:t xml:space="preserve">Durée de la consultation technique sur l’élaboration du rapport REDES 2025 </w:t>
      </w:r>
    </w:p>
    <w:p w:rsidR="009C3783" w:rsidRPr="002A7199" w:rsidRDefault="00D3387E">
      <w:pPr>
        <w:pBdr>
          <w:top w:val="nil"/>
          <w:left w:val="nil"/>
          <w:bottom w:val="nil"/>
          <w:right w:val="nil"/>
          <w:between w:val="nil"/>
        </w:pBdr>
        <w:spacing w:after="120"/>
        <w:jc w:val="both"/>
      </w:pPr>
      <w:r w:rsidRPr="002A7199">
        <w:t>La durée de la consultation est de 40 jours ouvrables; soit un total de 8 semaines à partir de la date de  la signature du contrat.</w:t>
      </w:r>
    </w:p>
    <w:p w:rsidR="009C3783" w:rsidRPr="002A7199" w:rsidRDefault="009C3783"/>
    <w:p w:rsidR="009C3783" w:rsidRPr="002A7199" w:rsidRDefault="00D3387E">
      <w:pPr>
        <w:numPr>
          <w:ilvl w:val="0"/>
          <w:numId w:val="7"/>
        </w:numPr>
        <w:spacing w:after="120"/>
        <w:jc w:val="both"/>
      </w:pPr>
      <w:r w:rsidRPr="002A7199">
        <w:rPr>
          <w:b/>
        </w:rPr>
        <w:t xml:space="preserve">Processus de recrutement </w:t>
      </w:r>
    </w:p>
    <w:p w:rsidR="009C3783" w:rsidRPr="002A7199" w:rsidRDefault="00D3387E">
      <w:pPr>
        <w:spacing w:after="120" w:line="276" w:lineRule="auto"/>
        <w:jc w:val="both"/>
      </w:pPr>
      <w:r w:rsidRPr="002A7199">
        <w:t xml:space="preserve">Le choix sera fait par un comité de 3 ou 5 membres (CT du PNLS, World Vision et ONUSIDA) tout en respectant les critères énumérés dans le profil recherché. </w:t>
      </w:r>
    </w:p>
    <w:p w:rsidR="009C3783" w:rsidRPr="002A7199" w:rsidRDefault="009C3783">
      <w:pPr>
        <w:spacing w:after="120" w:line="276" w:lineRule="auto"/>
        <w:jc w:val="both"/>
      </w:pPr>
    </w:p>
    <w:p w:rsidR="009C3783" w:rsidRPr="002A7199" w:rsidRDefault="00D3387E">
      <w:pPr>
        <w:numPr>
          <w:ilvl w:val="0"/>
          <w:numId w:val="7"/>
        </w:numPr>
        <w:spacing w:after="120"/>
      </w:pPr>
      <w:r w:rsidRPr="002A7199">
        <w:rPr>
          <w:b/>
        </w:rPr>
        <w:t>Arrangements techniques et administratifs</w:t>
      </w:r>
    </w:p>
    <w:p w:rsidR="009C3783" w:rsidRPr="002A7199" w:rsidRDefault="00D3387E">
      <w:pPr>
        <w:spacing w:after="120" w:line="276" w:lineRule="auto"/>
        <w:jc w:val="both"/>
      </w:pPr>
      <w:r w:rsidRPr="002A7199">
        <w:t xml:space="preserve">Le consultant sera sous la supervision directe de la coordonnatrice du PNLS. Mais, travaillera en étroite collaboration avec la responsable du service Suivi et Evaluation pour la gestion des relations (administration et technique) et avec la  World Vision/FM Genève sur cette consultation technique relative à l’élaboration du rapport REDES 2025. </w:t>
      </w:r>
    </w:p>
    <w:p w:rsidR="009C3783" w:rsidRPr="002A7199" w:rsidRDefault="00D3387E">
      <w:pPr>
        <w:spacing w:after="120" w:line="276" w:lineRule="auto"/>
        <w:jc w:val="both"/>
      </w:pPr>
      <w:r w:rsidRPr="002A7199">
        <w:t>Les honoraires du consultant seront payés par le projet « Gouvernance » de la subvention VIH/Sida du FM dont World Vision est le Récipiendaire Principal. Les arrangements contractuels incluront d’autres éléments non mentionnés dans ces Termes de Référence qui obligeront les 3 parties signataires à respecter le calendrier d’exécution, la production des extrants et le paiement de cette consultation technique.</w:t>
      </w:r>
    </w:p>
    <w:p w:rsidR="009C3783" w:rsidRPr="002A7199" w:rsidRDefault="009C3783">
      <w:pPr>
        <w:spacing w:after="120" w:line="276" w:lineRule="auto"/>
        <w:jc w:val="both"/>
      </w:pPr>
    </w:p>
    <w:p w:rsidR="009C3783" w:rsidRPr="002A7199" w:rsidRDefault="009C3783">
      <w:pPr>
        <w:spacing w:after="120" w:line="276" w:lineRule="auto"/>
        <w:jc w:val="both"/>
      </w:pPr>
    </w:p>
    <w:p w:rsidR="009C3783" w:rsidRPr="002A7199" w:rsidRDefault="009C3783">
      <w:pPr>
        <w:spacing w:after="120" w:line="276" w:lineRule="auto"/>
        <w:jc w:val="both"/>
      </w:pPr>
    </w:p>
    <w:p w:rsidR="009C3783" w:rsidRPr="002A7199" w:rsidRDefault="00D3387E">
      <w:pPr>
        <w:numPr>
          <w:ilvl w:val="0"/>
          <w:numId w:val="7"/>
        </w:numPr>
        <w:spacing w:after="120"/>
      </w:pPr>
      <w:r w:rsidRPr="002A7199">
        <w:rPr>
          <w:b/>
        </w:rPr>
        <w:t xml:space="preserve">Profil recherché </w:t>
      </w:r>
    </w:p>
    <w:p w:rsidR="009C3783" w:rsidRPr="002A7199" w:rsidRDefault="00D3387E">
      <w:pPr>
        <w:numPr>
          <w:ilvl w:val="0"/>
          <w:numId w:val="5"/>
        </w:numPr>
        <w:tabs>
          <w:tab w:val="left" w:pos="360"/>
        </w:tabs>
        <w:spacing w:after="120"/>
        <w:jc w:val="both"/>
      </w:pPr>
      <w:r w:rsidRPr="002A7199">
        <w:t>Diplôme universitaire (spécialité en santé publique, sciences économiques) ;</w:t>
      </w:r>
    </w:p>
    <w:p w:rsidR="009C3783" w:rsidRPr="002A7199" w:rsidRDefault="00D3387E">
      <w:pPr>
        <w:numPr>
          <w:ilvl w:val="0"/>
          <w:numId w:val="5"/>
        </w:numPr>
        <w:tabs>
          <w:tab w:val="left" w:pos="0"/>
          <w:tab w:val="left" w:pos="360"/>
        </w:tabs>
        <w:spacing w:after="120"/>
        <w:jc w:val="both"/>
      </w:pPr>
      <w:r w:rsidRPr="002A7199">
        <w:t>Connaissance du système de santé en Haïti et de la Riposte nationale face au VIH/Sida ;</w:t>
      </w:r>
    </w:p>
    <w:p w:rsidR="009C3783" w:rsidRPr="002A7199" w:rsidRDefault="00D3387E">
      <w:pPr>
        <w:numPr>
          <w:ilvl w:val="0"/>
          <w:numId w:val="5"/>
        </w:numPr>
        <w:tabs>
          <w:tab w:val="left" w:pos="0"/>
          <w:tab w:val="left" w:pos="360"/>
        </w:tabs>
        <w:spacing w:after="120"/>
        <w:jc w:val="both"/>
      </w:pPr>
      <w:r w:rsidRPr="002A7199">
        <w:t>Expérience de travail avec plusieurs ministères d’Haïti, et expérience également avec le système des Nations Unies ;</w:t>
      </w:r>
    </w:p>
    <w:p w:rsidR="009C3783" w:rsidRPr="002A7199" w:rsidRDefault="00D3387E">
      <w:pPr>
        <w:numPr>
          <w:ilvl w:val="0"/>
          <w:numId w:val="5"/>
        </w:numPr>
        <w:tabs>
          <w:tab w:val="left" w:pos="0"/>
          <w:tab w:val="left" w:pos="360"/>
        </w:tabs>
        <w:spacing w:after="120"/>
        <w:jc w:val="both"/>
      </w:pPr>
      <w:r w:rsidRPr="002A7199">
        <w:t>Expérience d’élaboration de rapport d’exécution de dépenses d’un Programme (l’élaboration de rapport REDES est un atout majeur) ;</w:t>
      </w:r>
    </w:p>
    <w:p w:rsidR="009C3783" w:rsidRPr="002A7199" w:rsidRDefault="00D3387E">
      <w:pPr>
        <w:numPr>
          <w:ilvl w:val="0"/>
          <w:numId w:val="4"/>
        </w:numPr>
        <w:spacing w:after="120"/>
        <w:jc w:val="both"/>
      </w:pPr>
      <w:r w:rsidRPr="002A7199">
        <w:t xml:space="preserve">Capacités analytique et rédactionnelle excellentes ; </w:t>
      </w:r>
    </w:p>
    <w:p w:rsidR="009C3783" w:rsidRPr="002A7199" w:rsidRDefault="00D3387E">
      <w:pPr>
        <w:numPr>
          <w:ilvl w:val="0"/>
          <w:numId w:val="4"/>
        </w:numPr>
        <w:spacing w:after="120"/>
        <w:jc w:val="both"/>
      </w:pPr>
      <w:r w:rsidRPr="002A7199">
        <w:t>Capacité à favoriser le travail en équipe et d’établir des relations de travail efficaces ;</w:t>
      </w:r>
    </w:p>
    <w:p w:rsidR="009C3783" w:rsidRPr="002A7199" w:rsidRDefault="00D3387E">
      <w:pPr>
        <w:numPr>
          <w:ilvl w:val="0"/>
          <w:numId w:val="4"/>
        </w:numPr>
        <w:spacing w:after="120"/>
        <w:jc w:val="both"/>
      </w:pPr>
      <w:r w:rsidRPr="002A7199">
        <w:t>Maitrise de l’outil informatique ;</w:t>
      </w:r>
    </w:p>
    <w:p w:rsidR="009C3783" w:rsidRPr="002A7199" w:rsidRDefault="00D3387E">
      <w:pPr>
        <w:numPr>
          <w:ilvl w:val="0"/>
          <w:numId w:val="4"/>
        </w:numPr>
        <w:spacing w:after="120"/>
        <w:jc w:val="both"/>
      </w:pPr>
      <w:r w:rsidRPr="002A7199">
        <w:t>Excellente maîtrise du Français parlé et écrit. </w:t>
      </w:r>
    </w:p>
    <w:p w:rsidR="009C3783" w:rsidRPr="002A7199" w:rsidRDefault="009C3783">
      <w:pPr>
        <w:spacing w:after="120"/>
        <w:ind w:left="720"/>
        <w:jc w:val="both"/>
      </w:pPr>
    </w:p>
    <w:p w:rsidR="009C3783" w:rsidRPr="002A7199" w:rsidRDefault="00D3387E">
      <w:pPr>
        <w:numPr>
          <w:ilvl w:val="0"/>
          <w:numId w:val="7"/>
        </w:numPr>
        <w:spacing w:after="120"/>
        <w:jc w:val="both"/>
      </w:pPr>
      <w:r w:rsidRPr="002A7199">
        <w:rPr>
          <w:b/>
        </w:rPr>
        <w:t>Composition du dossier de soumission</w:t>
      </w:r>
    </w:p>
    <w:p w:rsidR="009C3783" w:rsidRPr="002A7199" w:rsidRDefault="00D3387E">
      <w:pPr>
        <w:spacing w:after="120"/>
        <w:jc w:val="both"/>
      </w:pPr>
      <w:r w:rsidRPr="002A7199">
        <w:lastRenderedPageBreak/>
        <w:t>Le dossier de soumission doit comprendre :</w:t>
      </w:r>
    </w:p>
    <w:p w:rsidR="009C3783" w:rsidRPr="002A7199" w:rsidRDefault="00D3387E">
      <w:pPr>
        <w:numPr>
          <w:ilvl w:val="0"/>
          <w:numId w:val="6"/>
        </w:numPr>
        <w:spacing w:after="120"/>
        <w:jc w:val="both"/>
      </w:pPr>
      <w:r w:rsidRPr="002A7199">
        <w:t>Une Lettre d’Intention explicitant la compréhension du postulant sur l’objet et le sujet de la consultation;</w:t>
      </w:r>
    </w:p>
    <w:p w:rsidR="009C3783" w:rsidRPr="002A7199" w:rsidRDefault="00D3387E">
      <w:pPr>
        <w:numPr>
          <w:ilvl w:val="0"/>
          <w:numId w:val="6"/>
        </w:numPr>
        <w:spacing w:after="120"/>
        <w:jc w:val="both"/>
      </w:pPr>
      <w:r w:rsidRPr="002A7199">
        <w:t>Le Curriculum Vitae du postulant et ses expériences sur le sujet et/ou de tous les autres associés, ainsi que tous les documents justifiant l’existence et la légalité de la Firme de Consultation s’il en est une ;</w:t>
      </w:r>
    </w:p>
    <w:p w:rsidR="009C3783" w:rsidRPr="002A7199" w:rsidRDefault="00D3387E">
      <w:pPr>
        <w:numPr>
          <w:ilvl w:val="0"/>
          <w:numId w:val="6"/>
        </w:numPr>
        <w:spacing w:after="120"/>
        <w:jc w:val="both"/>
      </w:pPr>
      <w:r w:rsidRPr="002A7199">
        <w:t>Une Proposition Technique qui ne reprenne pas seulement les recommandations des TDR faisant état d’un travail de réflexion;</w:t>
      </w:r>
    </w:p>
    <w:p w:rsidR="009C3783" w:rsidRPr="002A7199" w:rsidRDefault="00D3387E">
      <w:pPr>
        <w:numPr>
          <w:ilvl w:val="0"/>
          <w:numId w:val="6"/>
        </w:numPr>
        <w:spacing w:after="120"/>
        <w:jc w:val="both"/>
      </w:pPr>
      <w:r w:rsidRPr="002A7199">
        <w:t>Une Proposition Financière détaillée pour l’exécution du Rapport dans une enveloppe séparée de la proposition technique.</w:t>
      </w:r>
    </w:p>
    <w:p w:rsidR="009C3783" w:rsidRPr="002A7199" w:rsidRDefault="009C3783">
      <w:pPr>
        <w:spacing w:after="120"/>
      </w:pPr>
    </w:p>
    <w:p w:rsidR="009C3783" w:rsidRPr="002A7199" w:rsidRDefault="00D3387E">
      <w:pPr>
        <w:spacing w:after="120"/>
      </w:pPr>
      <w:r w:rsidRPr="002A7199">
        <w:rPr>
          <w:b/>
        </w:rPr>
        <w:t xml:space="preserve">Dépôt des dossiers </w:t>
      </w:r>
    </w:p>
    <w:p w:rsidR="009C3783" w:rsidRPr="002A7199" w:rsidRDefault="00D3387E">
      <w:pPr>
        <w:spacing w:after="120" w:line="276" w:lineRule="auto"/>
        <w:jc w:val="both"/>
      </w:pPr>
      <w:r w:rsidRPr="002A7199">
        <w:t xml:space="preserve">Les dossiers de soumission (1 original et 4 copies) doivent être déposés sous plis cachetés à l’adresse suivante # 17, Rue </w:t>
      </w:r>
      <w:proofErr w:type="spellStart"/>
      <w:r w:rsidRPr="002A7199">
        <w:t>Darguin</w:t>
      </w:r>
      <w:proofErr w:type="spellEnd"/>
      <w:r w:rsidRPr="002A7199">
        <w:t xml:space="preserve">, Pétion-ville, </w:t>
      </w:r>
      <w:r w:rsidRPr="002A7199">
        <w:rPr>
          <w:b/>
        </w:rPr>
        <w:t>au plus tard, le vendredi 8 mars 2025 à 4:00pm</w:t>
      </w:r>
      <w:r w:rsidRPr="002A7199">
        <w:t xml:space="preserve">. </w:t>
      </w:r>
      <w:r w:rsidRPr="002A7199">
        <w:rPr>
          <w:b/>
        </w:rPr>
        <w:t>Les enveloppes doivent porter le nom du soumissionnaire avec la mention « REDES 2025 » avec les coordonnées incluant l’adresse électronique (courrielle) et un numéro de téléphone joignable.</w:t>
      </w:r>
    </w:p>
    <w:p w:rsidR="009C3783" w:rsidRPr="002A7199" w:rsidRDefault="00D3387E">
      <w:pPr>
        <w:spacing w:after="120"/>
      </w:pPr>
      <w:r w:rsidRPr="002A7199">
        <w:t xml:space="preserve"> </w:t>
      </w:r>
    </w:p>
    <w:p w:rsidR="009C3783" w:rsidRPr="002A7199" w:rsidRDefault="009C3783">
      <w:pPr>
        <w:spacing w:after="120"/>
      </w:pPr>
    </w:p>
    <w:p w:rsidR="009C3783" w:rsidRPr="002A7199" w:rsidRDefault="009C3783">
      <w:pPr>
        <w:spacing w:after="120"/>
      </w:pPr>
    </w:p>
    <w:p w:rsidR="009C3783" w:rsidRPr="002A7199" w:rsidRDefault="009C3783">
      <w:pPr>
        <w:spacing w:after="120"/>
      </w:pPr>
    </w:p>
    <w:p w:rsidR="009C3783" w:rsidRPr="002A7199" w:rsidRDefault="009C3783">
      <w:pPr>
        <w:spacing w:after="120"/>
      </w:pPr>
    </w:p>
    <w:sectPr w:rsidR="009C3783" w:rsidRPr="002A71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7759C"/>
    <w:multiLevelType w:val="hybridMultilevel"/>
    <w:tmpl w:val="401E4186"/>
    <w:lvl w:ilvl="0" w:tplc="376A491A">
      <w:start w:val="1"/>
      <w:numFmt w:val="decimal"/>
      <w:lvlText w:val="%1."/>
      <w:lvlJc w:val="left"/>
      <w:pPr>
        <w:ind w:left="720" w:hanging="360"/>
      </w:pPr>
    </w:lvl>
    <w:lvl w:ilvl="1" w:tplc="EA823E1C">
      <w:start w:val="1"/>
      <w:numFmt w:val="decimal"/>
      <w:lvlText w:val="%2."/>
      <w:lvlJc w:val="left"/>
      <w:pPr>
        <w:ind w:left="1440" w:hanging="1080"/>
      </w:pPr>
    </w:lvl>
    <w:lvl w:ilvl="2" w:tplc="30E086CE">
      <w:start w:val="1"/>
      <w:numFmt w:val="decimal"/>
      <w:lvlText w:val="%3."/>
      <w:lvlJc w:val="left"/>
      <w:pPr>
        <w:ind w:left="2160" w:hanging="1980"/>
      </w:pPr>
    </w:lvl>
    <w:lvl w:ilvl="3" w:tplc="FA089A48">
      <w:start w:val="1"/>
      <w:numFmt w:val="decimal"/>
      <w:lvlText w:val="%4."/>
      <w:lvlJc w:val="left"/>
      <w:pPr>
        <w:ind w:left="2880" w:hanging="2520"/>
      </w:pPr>
    </w:lvl>
    <w:lvl w:ilvl="4" w:tplc="65608DE4">
      <w:start w:val="1"/>
      <w:numFmt w:val="decimal"/>
      <w:lvlText w:val="%5."/>
      <w:lvlJc w:val="left"/>
      <w:pPr>
        <w:ind w:left="3600" w:hanging="3240"/>
      </w:pPr>
    </w:lvl>
    <w:lvl w:ilvl="5" w:tplc="EA04602A">
      <w:start w:val="1"/>
      <w:numFmt w:val="decimal"/>
      <w:lvlText w:val="%6."/>
      <w:lvlJc w:val="left"/>
      <w:pPr>
        <w:ind w:left="4320" w:hanging="4140"/>
      </w:pPr>
    </w:lvl>
    <w:lvl w:ilvl="6" w:tplc="85EE98DE">
      <w:start w:val="1"/>
      <w:numFmt w:val="decimal"/>
      <w:lvlText w:val="%7."/>
      <w:lvlJc w:val="left"/>
      <w:pPr>
        <w:ind w:left="5040" w:hanging="4680"/>
      </w:pPr>
    </w:lvl>
    <w:lvl w:ilvl="7" w:tplc="F828D9D0">
      <w:start w:val="1"/>
      <w:numFmt w:val="decimal"/>
      <w:lvlText w:val="%8."/>
      <w:lvlJc w:val="left"/>
      <w:pPr>
        <w:ind w:left="5760" w:hanging="5400"/>
      </w:pPr>
    </w:lvl>
    <w:lvl w:ilvl="8" w:tplc="A57ABEB8">
      <w:start w:val="1"/>
      <w:numFmt w:val="decimal"/>
      <w:lvlText w:val="%9."/>
      <w:lvlJc w:val="left"/>
      <w:pPr>
        <w:ind w:left="6480" w:hanging="6300"/>
      </w:pPr>
    </w:lvl>
  </w:abstractNum>
  <w:abstractNum w:abstractNumId="1">
    <w:nsid w:val="2A9A1190"/>
    <w:multiLevelType w:val="hybridMultilevel"/>
    <w:tmpl w:val="D3A28494"/>
    <w:lvl w:ilvl="0" w:tplc="AD1EEAD2">
      <w:start w:val="1"/>
      <w:numFmt w:val="bullet"/>
      <w:lvlText w:val="●"/>
      <w:lvlJc w:val="left"/>
      <w:pPr>
        <w:ind w:left="720" w:hanging="360"/>
      </w:pPr>
      <w:rPr>
        <w:rFonts w:ascii="Noto Sans Symbols" w:eastAsia="Noto Sans Symbols" w:hAnsi="Noto Sans Symbols" w:cs="Noto Sans Symbols"/>
      </w:rPr>
    </w:lvl>
    <w:lvl w:ilvl="1" w:tplc="0D84D154">
      <w:start w:val="1"/>
      <w:numFmt w:val="bullet"/>
      <w:lvlText w:val="o"/>
      <w:lvlJc w:val="left"/>
      <w:pPr>
        <w:ind w:left="1440" w:hanging="360"/>
      </w:pPr>
      <w:rPr>
        <w:rFonts w:ascii="Courier New" w:eastAsia="Courier New" w:hAnsi="Courier New" w:cs="Courier New"/>
      </w:rPr>
    </w:lvl>
    <w:lvl w:ilvl="2" w:tplc="38CE7E8A">
      <w:start w:val="1"/>
      <w:numFmt w:val="bullet"/>
      <w:lvlText w:val="▪"/>
      <w:lvlJc w:val="left"/>
      <w:pPr>
        <w:ind w:left="2160" w:hanging="360"/>
      </w:pPr>
      <w:rPr>
        <w:rFonts w:ascii="Noto Sans Symbols" w:eastAsia="Noto Sans Symbols" w:hAnsi="Noto Sans Symbols" w:cs="Noto Sans Symbols"/>
      </w:rPr>
    </w:lvl>
    <w:lvl w:ilvl="3" w:tplc="DB2E241E">
      <w:start w:val="1"/>
      <w:numFmt w:val="bullet"/>
      <w:lvlText w:val="●"/>
      <w:lvlJc w:val="left"/>
      <w:pPr>
        <w:ind w:left="2880" w:hanging="360"/>
      </w:pPr>
      <w:rPr>
        <w:rFonts w:ascii="Noto Sans Symbols" w:eastAsia="Noto Sans Symbols" w:hAnsi="Noto Sans Symbols" w:cs="Noto Sans Symbols"/>
      </w:rPr>
    </w:lvl>
    <w:lvl w:ilvl="4" w:tplc="0C321B60">
      <w:start w:val="1"/>
      <w:numFmt w:val="bullet"/>
      <w:lvlText w:val="o"/>
      <w:lvlJc w:val="left"/>
      <w:pPr>
        <w:ind w:left="3600" w:hanging="360"/>
      </w:pPr>
      <w:rPr>
        <w:rFonts w:ascii="Courier New" w:eastAsia="Courier New" w:hAnsi="Courier New" w:cs="Courier New"/>
      </w:rPr>
    </w:lvl>
    <w:lvl w:ilvl="5" w:tplc="BA9C7688">
      <w:start w:val="1"/>
      <w:numFmt w:val="bullet"/>
      <w:lvlText w:val="▪"/>
      <w:lvlJc w:val="left"/>
      <w:pPr>
        <w:ind w:left="4320" w:hanging="360"/>
      </w:pPr>
      <w:rPr>
        <w:rFonts w:ascii="Noto Sans Symbols" w:eastAsia="Noto Sans Symbols" w:hAnsi="Noto Sans Symbols" w:cs="Noto Sans Symbols"/>
      </w:rPr>
    </w:lvl>
    <w:lvl w:ilvl="6" w:tplc="AFE68152">
      <w:start w:val="1"/>
      <w:numFmt w:val="bullet"/>
      <w:lvlText w:val="●"/>
      <w:lvlJc w:val="left"/>
      <w:pPr>
        <w:ind w:left="5040" w:hanging="360"/>
      </w:pPr>
      <w:rPr>
        <w:rFonts w:ascii="Noto Sans Symbols" w:eastAsia="Noto Sans Symbols" w:hAnsi="Noto Sans Symbols" w:cs="Noto Sans Symbols"/>
      </w:rPr>
    </w:lvl>
    <w:lvl w:ilvl="7" w:tplc="888E1ACC">
      <w:start w:val="1"/>
      <w:numFmt w:val="bullet"/>
      <w:lvlText w:val="o"/>
      <w:lvlJc w:val="left"/>
      <w:pPr>
        <w:ind w:left="5760" w:hanging="360"/>
      </w:pPr>
      <w:rPr>
        <w:rFonts w:ascii="Courier New" w:eastAsia="Courier New" w:hAnsi="Courier New" w:cs="Courier New"/>
      </w:rPr>
    </w:lvl>
    <w:lvl w:ilvl="8" w:tplc="8D14D2AA">
      <w:start w:val="1"/>
      <w:numFmt w:val="bullet"/>
      <w:lvlText w:val="▪"/>
      <w:lvlJc w:val="left"/>
      <w:pPr>
        <w:ind w:left="6480" w:hanging="360"/>
      </w:pPr>
      <w:rPr>
        <w:rFonts w:ascii="Noto Sans Symbols" w:eastAsia="Noto Sans Symbols" w:hAnsi="Noto Sans Symbols" w:cs="Noto Sans Symbols"/>
      </w:rPr>
    </w:lvl>
  </w:abstractNum>
  <w:abstractNum w:abstractNumId="2">
    <w:nsid w:val="34AF6CA2"/>
    <w:multiLevelType w:val="hybridMultilevel"/>
    <w:tmpl w:val="ADC84C96"/>
    <w:lvl w:ilvl="0" w:tplc="912858AC">
      <w:start w:val="1"/>
      <w:numFmt w:val="decimal"/>
      <w:lvlText w:val="%1."/>
      <w:lvlJc w:val="left"/>
      <w:pPr>
        <w:ind w:left="720" w:hanging="360"/>
      </w:pPr>
    </w:lvl>
    <w:lvl w:ilvl="1" w:tplc="2C367958">
      <w:start w:val="1"/>
      <w:numFmt w:val="lowerLetter"/>
      <w:lvlText w:val="%2."/>
      <w:lvlJc w:val="left"/>
      <w:pPr>
        <w:ind w:left="1440" w:hanging="360"/>
      </w:pPr>
    </w:lvl>
    <w:lvl w:ilvl="2" w:tplc="C114D0FE">
      <w:start w:val="1"/>
      <w:numFmt w:val="lowerRoman"/>
      <w:lvlText w:val="%3."/>
      <w:lvlJc w:val="right"/>
      <w:pPr>
        <w:ind w:left="2160" w:hanging="180"/>
      </w:pPr>
    </w:lvl>
    <w:lvl w:ilvl="3" w:tplc="28581B16">
      <w:start w:val="1"/>
      <w:numFmt w:val="decimal"/>
      <w:lvlText w:val="%4."/>
      <w:lvlJc w:val="left"/>
      <w:pPr>
        <w:ind w:left="2880" w:hanging="360"/>
      </w:pPr>
    </w:lvl>
    <w:lvl w:ilvl="4" w:tplc="90F0EFB6">
      <w:start w:val="1"/>
      <w:numFmt w:val="lowerLetter"/>
      <w:lvlText w:val="%5."/>
      <w:lvlJc w:val="left"/>
      <w:pPr>
        <w:ind w:left="3600" w:hanging="360"/>
      </w:pPr>
    </w:lvl>
    <w:lvl w:ilvl="5" w:tplc="B5400C2E">
      <w:start w:val="1"/>
      <w:numFmt w:val="lowerRoman"/>
      <w:lvlText w:val="%6."/>
      <w:lvlJc w:val="right"/>
      <w:pPr>
        <w:ind w:left="4320" w:hanging="180"/>
      </w:pPr>
    </w:lvl>
    <w:lvl w:ilvl="6" w:tplc="82F6BD64">
      <w:start w:val="1"/>
      <w:numFmt w:val="decimal"/>
      <w:lvlText w:val="%7."/>
      <w:lvlJc w:val="left"/>
      <w:pPr>
        <w:ind w:left="5040" w:hanging="360"/>
      </w:pPr>
    </w:lvl>
    <w:lvl w:ilvl="7" w:tplc="189A1F08">
      <w:start w:val="1"/>
      <w:numFmt w:val="lowerLetter"/>
      <w:lvlText w:val="%8."/>
      <w:lvlJc w:val="left"/>
      <w:pPr>
        <w:ind w:left="5760" w:hanging="360"/>
      </w:pPr>
    </w:lvl>
    <w:lvl w:ilvl="8" w:tplc="E8CC7426">
      <w:start w:val="1"/>
      <w:numFmt w:val="lowerRoman"/>
      <w:lvlText w:val="%9."/>
      <w:lvlJc w:val="right"/>
      <w:pPr>
        <w:ind w:left="6480" w:hanging="180"/>
      </w:pPr>
    </w:lvl>
  </w:abstractNum>
  <w:abstractNum w:abstractNumId="3">
    <w:nsid w:val="3F112E11"/>
    <w:multiLevelType w:val="hybridMultilevel"/>
    <w:tmpl w:val="0150ADD4"/>
    <w:lvl w:ilvl="0" w:tplc="5412CCEE">
      <w:start w:val="1"/>
      <w:numFmt w:val="bullet"/>
      <w:lvlText w:val="●"/>
      <w:lvlJc w:val="left"/>
      <w:pPr>
        <w:ind w:left="720" w:hanging="360"/>
      </w:pPr>
      <w:rPr>
        <w:rFonts w:ascii="Noto Sans Symbols" w:eastAsia="Noto Sans Symbols" w:hAnsi="Noto Sans Symbols" w:cs="Noto Sans Symbols"/>
      </w:rPr>
    </w:lvl>
    <w:lvl w:ilvl="1" w:tplc="67360AEA">
      <w:start w:val="1"/>
      <w:numFmt w:val="bullet"/>
      <w:lvlText w:val="o"/>
      <w:lvlJc w:val="left"/>
      <w:pPr>
        <w:ind w:left="1440" w:hanging="360"/>
      </w:pPr>
      <w:rPr>
        <w:rFonts w:ascii="Courier New" w:eastAsia="Courier New" w:hAnsi="Courier New" w:cs="Courier New"/>
      </w:rPr>
    </w:lvl>
    <w:lvl w:ilvl="2" w:tplc="155A9A70">
      <w:start w:val="1"/>
      <w:numFmt w:val="bullet"/>
      <w:lvlText w:val="▪"/>
      <w:lvlJc w:val="left"/>
      <w:pPr>
        <w:ind w:left="2160" w:hanging="360"/>
      </w:pPr>
      <w:rPr>
        <w:rFonts w:ascii="Noto Sans Symbols" w:eastAsia="Noto Sans Symbols" w:hAnsi="Noto Sans Symbols" w:cs="Noto Sans Symbols"/>
      </w:rPr>
    </w:lvl>
    <w:lvl w:ilvl="3" w:tplc="3104E6D6">
      <w:start w:val="1"/>
      <w:numFmt w:val="bullet"/>
      <w:lvlText w:val="●"/>
      <w:lvlJc w:val="left"/>
      <w:pPr>
        <w:ind w:left="2880" w:hanging="360"/>
      </w:pPr>
      <w:rPr>
        <w:rFonts w:ascii="Noto Sans Symbols" w:eastAsia="Noto Sans Symbols" w:hAnsi="Noto Sans Symbols" w:cs="Noto Sans Symbols"/>
      </w:rPr>
    </w:lvl>
    <w:lvl w:ilvl="4" w:tplc="41F6D078">
      <w:start w:val="1"/>
      <w:numFmt w:val="bullet"/>
      <w:lvlText w:val="o"/>
      <w:lvlJc w:val="left"/>
      <w:pPr>
        <w:ind w:left="3600" w:hanging="360"/>
      </w:pPr>
      <w:rPr>
        <w:rFonts w:ascii="Courier New" w:eastAsia="Courier New" w:hAnsi="Courier New" w:cs="Courier New"/>
      </w:rPr>
    </w:lvl>
    <w:lvl w:ilvl="5" w:tplc="326A87AC">
      <w:start w:val="1"/>
      <w:numFmt w:val="bullet"/>
      <w:lvlText w:val="▪"/>
      <w:lvlJc w:val="left"/>
      <w:pPr>
        <w:ind w:left="4320" w:hanging="360"/>
      </w:pPr>
      <w:rPr>
        <w:rFonts w:ascii="Noto Sans Symbols" w:eastAsia="Noto Sans Symbols" w:hAnsi="Noto Sans Symbols" w:cs="Noto Sans Symbols"/>
      </w:rPr>
    </w:lvl>
    <w:lvl w:ilvl="6" w:tplc="7C7AF87A">
      <w:start w:val="1"/>
      <w:numFmt w:val="bullet"/>
      <w:lvlText w:val="●"/>
      <w:lvlJc w:val="left"/>
      <w:pPr>
        <w:ind w:left="5040" w:hanging="360"/>
      </w:pPr>
      <w:rPr>
        <w:rFonts w:ascii="Noto Sans Symbols" w:eastAsia="Noto Sans Symbols" w:hAnsi="Noto Sans Symbols" w:cs="Noto Sans Symbols"/>
      </w:rPr>
    </w:lvl>
    <w:lvl w:ilvl="7" w:tplc="168C5FA4">
      <w:start w:val="1"/>
      <w:numFmt w:val="bullet"/>
      <w:lvlText w:val="o"/>
      <w:lvlJc w:val="left"/>
      <w:pPr>
        <w:ind w:left="5760" w:hanging="360"/>
      </w:pPr>
      <w:rPr>
        <w:rFonts w:ascii="Courier New" w:eastAsia="Courier New" w:hAnsi="Courier New" w:cs="Courier New"/>
      </w:rPr>
    </w:lvl>
    <w:lvl w:ilvl="8" w:tplc="8B98CA9E">
      <w:start w:val="1"/>
      <w:numFmt w:val="bullet"/>
      <w:lvlText w:val="▪"/>
      <w:lvlJc w:val="left"/>
      <w:pPr>
        <w:ind w:left="6480" w:hanging="360"/>
      </w:pPr>
      <w:rPr>
        <w:rFonts w:ascii="Noto Sans Symbols" w:eastAsia="Noto Sans Symbols" w:hAnsi="Noto Sans Symbols" w:cs="Noto Sans Symbols"/>
      </w:rPr>
    </w:lvl>
  </w:abstractNum>
  <w:abstractNum w:abstractNumId="4">
    <w:nsid w:val="49D24E76"/>
    <w:multiLevelType w:val="hybridMultilevel"/>
    <w:tmpl w:val="90847E98"/>
    <w:lvl w:ilvl="0" w:tplc="2674B4C8">
      <w:start w:val="1"/>
      <w:numFmt w:val="upperLetter"/>
      <w:lvlText w:val="%1."/>
      <w:lvlJc w:val="left"/>
      <w:pPr>
        <w:ind w:left="360" w:hanging="360"/>
      </w:pPr>
    </w:lvl>
    <w:lvl w:ilvl="1" w:tplc="0AEEA746">
      <w:start w:val="1"/>
      <w:numFmt w:val="lowerLetter"/>
      <w:lvlText w:val="%2."/>
      <w:lvlJc w:val="left"/>
      <w:pPr>
        <w:ind w:left="1440" w:hanging="360"/>
      </w:pPr>
    </w:lvl>
    <w:lvl w:ilvl="2" w:tplc="B6E85F2C">
      <w:start w:val="1"/>
      <w:numFmt w:val="lowerRoman"/>
      <w:lvlText w:val="%3."/>
      <w:lvlJc w:val="right"/>
      <w:pPr>
        <w:ind w:left="2160" w:hanging="180"/>
      </w:pPr>
    </w:lvl>
    <w:lvl w:ilvl="3" w:tplc="98EADF42">
      <w:start w:val="1"/>
      <w:numFmt w:val="decimal"/>
      <w:lvlText w:val="%4."/>
      <w:lvlJc w:val="left"/>
      <w:pPr>
        <w:ind w:left="2880" w:hanging="360"/>
      </w:pPr>
    </w:lvl>
    <w:lvl w:ilvl="4" w:tplc="A52ABD50">
      <w:start w:val="1"/>
      <w:numFmt w:val="lowerLetter"/>
      <w:lvlText w:val="%5."/>
      <w:lvlJc w:val="left"/>
      <w:pPr>
        <w:ind w:left="3600" w:hanging="360"/>
      </w:pPr>
    </w:lvl>
    <w:lvl w:ilvl="5" w:tplc="5DC237D2">
      <w:start w:val="1"/>
      <w:numFmt w:val="lowerRoman"/>
      <w:lvlText w:val="%6."/>
      <w:lvlJc w:val="right"/>
      <w:pPr>
        <w:ind w:left="4320" w:hanging="180"/>
      </w:pPr>
    </w:lvl>
    <w:lvl w:ilvl="6" w:tplc="D4E62F3C">
      <w:start w:val="1"/>
      <w:numFmt w:val="decimal"/>
      <w:lvlText w:val="%7."/>
      <w:lvlJc w:val="left"/>
      <w:pPr>
        <w:ind w:left="5040" w:hanging="360"/>
      </w:pPr>
    </w:lvl>
    <w:lvl w:ilvl="7" w:tplc="9AE4CBBA">
      <w:start w:val="1"/>
      <w:numFmt w:val="lowerLetter"/>
      <w:lvlText w:val="%8."/>
      <w:lvlJc w:val="left"/>
      <w:pPr>
        <w:ind w:left="5760" w:hanging="360"/>
      </w:pPr>
    </w:lvl>
    <w:lvl w:ilvl="8" w:tplc="157A7128">
      <w:start w:val="1"/>
      <w:numFmt w:val="lowerRoman"/>
      <w:lvlText w:val="%9."/>
      <w:lvlJc w:val="right"/>
      <w:pPr>
        <w:ind w:left="6480" w:hanging="180"/>
      </w:pPr>
    </w:lvl>
  </w:abstractNum>
  <w:abstractNum w:abstractNumId="5">
    <w:nsid w:val="5ADC6E0C"/>
    <w:multiLevelType w:val="hybridMultilevel"/>
    <w:tmpl w:val="08C49B80"/>
    <w:lvl w:ilvl="0" w:tplc="0E041420">
      <w:start w:val="1"/>
      <w:numFmt w:val="bullet"/>
      <w:lvlText w:val="●"/>
      <w:lvlJc w:val="left"/>
      <w:pPr>
        <w:ind w:left="720" w:hanging="360"/>
      </w:pPr>
      <w:rPr>
        <w:rFonts w:ascii="Noto Sans Symbols" w:eastAsia="Noto Sans Symbols" w:hAnsi="Noto Sans Symbols" w:cs="Noto Sans Symbols"/>
      </w:rPr>
    </w:lvl>
    <w:lvl w:ilvl="1" w:tplc="58A08A64">
      <w:start w:val="1"/>
      <w:numFmt w:val="bullet"/>
      <w:lvlText w:val="o"/>
      <w:lvlJc w:val="left"/>
      <w:pPr>
        <w:ind w:left="1440" w:hanging="360"/>
      </w:pPr>
      <w:rPr>
        <w:rFonts w:ascii="Courier New" w:eastAsia="Courier New" w:hAnsi="Courier New" w:cs="Courier New"/>
      </w:rPr>
    </w:lvl>
    <w:lvl w:ilvl="2" w:tplc="82381D72">
      <w:start w:val="1"/>
      <w:numFmt w:val="bullet"/>
      <w:lvlText w:val="▪"/>
      <w:lvlJc w:val="left"/>
      <w:pPr>
        <w:ind w:left="2160" w:hanging="360"/>
      </w:pPr>
      <w:rPr>
        <w:rFonts w:ascii="Noto Sans Symbols" w:eastAsia="Noto Sans Symbols" w:hAnsi="Noto Sans Symbols" w:cs="Noto Sans Symbols"/>
      </w:rPr>
    </w:lvl>
    <w:lvl w:ilvl="3" w:tplc="241465F6">
      <w:start w:val="1"/>
      <w:numFmt w:val="bullet"/>
      <w:lvlText w:val="●"/>
      <w:lvlJc w:val="left"/>
      <w:pPr>
        <w:ind w:left="2880" w:hanging="360"/>
      </w:pPr>
      <w:rPr>
        <w:rFonts w:ascii="Noto Sans Symbols" w:eastAsia="Noto Sans Symbols" w:hAnsi="Noto Sans Symbols" w:cs="Noto Sans Symbols"/>
      </w:rPr>
    </w:lvl>
    <w:lvl w:ilvl="4" w:tplc="28D6E01E">
      <w:start w:val="1"/>
      <w:numFmt w:val="bullet"/>
      <w:lvlText w:val="o"/>
      <w:lvlJc w:val="left"/>
      <w:pPr>
        <w:ind w:left="3600" w:hanging="360"/>
      </w:pPr>
      <w:rPr>
        <w:rFonts w:ascii="Courier New" w:eastAsia="Courier New" w:hAnsi="Courier New" w:cs="Courier New"/>
      </w:rPr>
    </w:lvl>
    <w:lvl w:ilvl="5" w:tplc="627834F0">
      <w:start w:val="1"/>
      <w:numFmt w:val="bullet"/>
      <w:lvlText w:val="▪"/>
      <w:lvlJc w:val="left"/>
      <w:pPr>
        <w:ind w:left="4320" w:hanging="360"/>
      </w:pPr>
      <w:rPr>
        <w:rFonts w:ascii="Noto Sans Symbols" w:eastAsia="Noto Sans Symbols" w:hAnsi="Noto Sans Symbols" w:cs="Noto Sans Symbols"/>
      </w:rPr>
    </w:lvl>
    <w:lvl w:ilvl="6" w:tplc="4336F9A0">
      <w:start w:val="1"/>
      <w:numFmt w:val="bullet"/>
      <w:lvlText w:val="●"/>
      <w:lvlJc w:val="left"/>
      <w:pPr>
        <w:ind w:left="5040" w:hanging="360"/>
      </w:pPr>
      <w:rPr>
        <w:rFonts w:ascii="Noto Sans Symbols" w:eastAsia="Noto Sans Symbols" w:hAnsi="Noto Sans Symbols" w:cs="Noto Sans Symbols"/>
      </w:rPr>
    </w:lvl>
    <w:lvl w:ilvl="7" w:tplc="2900570C">
      <w:start w:val="1"/>
      <w:numFmt w:val="bullet"/>
      <w:lvlText w:val="o"/>
      <w:lvlJc w:val="left"/>
      <w:pPr>
        <w:ind w:left="5760" w:hanging="360"/>
      </w:pPr>
      <w:rPr>
        <w:rFonts w:ascii="Courier New" w:eastAsia="Courier New" w:hAnsi="Courier New" w:cs="Courier New"/>
      </w:rPr>
    </w:lvl>
    <w:lvl w:ilvl="8" w:tplc="D902DB18">
      <w:start w:val="1"/>
      <w:numFmt w:val="bullet"/>
      <w:lvlText w:val="▪"/>
      <w:lvlJc w:val="left"/>
      <w:pPr>
        <w:ind w:left="6480" w:hanging="360"/>
      </w:pPr>
      <w:rPr>
        <w:rFonts w:ascii="Noto Sans Symbols" w:eastAsia="Noto Sans Symbols" w:hAnsi="Noto Sans Symbols" w:cs="Noto Sans Symbols"/>
      </w:rPr>
    </w:lvl>
  </w:abstractNum>
  <w:abstractNum w:abstractNumId="6">
    <w:nsid w:val="5DAC5BE4"/>
    <w:multiLevelType w:val="hybridMultilevel"/>
    <w:tmpl w:val="11A07632"/>
    <w:lvl w:ilvl="0" w:tplc="BDDE7834">
      <w:start w:val="1"/>
      <w:numFmt w:val="bullet"/>
      <w:lvlText w:val="●"/>
      <w:lvlJc w:val="left"/>
      <w:pPr>
        <w:ind w:left="720" w:hanging="360"/>
      </w:pPr>
      <w:rPr>
        <w:rFonts w:ascii="Noto Sans Symbols" w:eastAsia="Noto Sans Symbols" w:hAnsi="Noto Sans Symbols" w:cs="Noto Sans Symbols"/>
      </w:rPr>
    </w:lvl>
    <w:lvl w:ilvl="1" w:tplc="FD568FF8">
      <w:start w:val="1"/>
      <w:numFmt w:val="bullet"/>
      <w:lvlText w:val="o"/>
      <w:lvlJc w:val="left"/>
      <w:pPr>
        <w:ind w:left="1440" w:hanging="360"/>
      </w:pPr>
      <w:rPr>
        <w:rFonts w:ascii="Courier New" w:eastAsia="Courier New" w:hAnsi="Courier New" w:cs="Courier New"/>
      </w:rPr>
    </w:lvl>
    <w:lvl w:ilvl="2" w:tplc="95C8C486">
      <w:start w:val="1"/>
      <w:numFmt w:val="bullet"/>
      <w:lvlText w:val="▪"/>
      <w:lvlJc w:val="left"/>
      <w:pPr>
        <w:ind w:left="2160" w:hanging="360"/>
      </w:pPr>
      <w:rPr>
        <w:rFonts w:ascii="Noto Sans Symbols" w:eastAsia="Noto Sans Symbols" w:hAnsi="Noto Sans Symbols" w:cs="Noto Sans Symbols"/>
      </w:rPr>
    </w:lvl>
    <w:lvl w:ilvl="3" w:tplc="D17AD6F0">
      <w:start w:val="1"/>
      <w:numFmt w:val="bullet"/>
      <w:lvlText w:val="●"/>
      <w:lvlJc w:val="left"/>
      <w:pPr>
        <w:ind w:left="2880" w:hanging="360"/>
      </w:pPr>
      <w:rPr>
        <w:rFonts w:ascii="Noto Sans Symbols" w:eastAsia="Noto Sans Symbols" w:hAnsi="Noto Sans Symbols" w:cs="Noto Sans Symbols"/>
      </w:rPr>
    </w:lvl>
    <w:lvl w:ilvl="4" w:tplc="3A984D2C">
      <w:start w:val="1"/>
      <w:numFmt w:val="bullet"/>
      <w:lvlText w:val="o"/>
      <w:lvlJc w:val="left"/>
      <w:pPr>
        <w:ind w:left="3600" w:hanging="360"/>
      </w:pPr>
      <w:rPr>
        <w:rFonts w:ascii="Courier New" w:eastAsia="Courier New" w:hAnsi="Courier New" w:cs="Courier New"/>
      </w:rPr>
    </w:lvl>
    <w:lvl w:ilvl="5" w:tplc="0B9EEB6A">
      <w:start w:val="1"/>
      <w:numFmt w:val="bullet"/>
      <w:lvlText w:val="▪"/>
      <w:lvlJc w:val="left"/>
      <w:pPr>
        <w:ind w:left="4320" w:hanging="360"/>
      </w:pPr>
      <w:rPr>
        <w:rFonts w:ascii="Noto Sans Symbols" w:eastAsia="Noto Sans Symbols" w:hAnsi="Noto Sans Symbols" w:cs="Noto Sans Symbols"/>
      </w:rPr>
    </w:lvl>
    <w:lvl w:ilvl="6" w:tplc="DFA8D26A">
      <w:start w:val="1"/>
      <w:numFmt w:val="bullet"/>
      <w:lvlText w:val="●"/>
      <w:lvlJc w:val="left"/>
      <w:pPr>
        <w:ind w:left="5040" w:hanging="360"/>
      </w:pPr>
      <w:rPr>
        <w:rFonts w:ascii="Noto Sans Symbols" w:eastAsia="Noto Sans Symbols" w:hAnsi="Noto Sans Symbols" w:cs="Noto Sans Symbols"/>
      </w:rPr>
    </w:lvl>
    <w:lvl w:ilvl="7" w:tplc="D570E4E0">
      <w:start w:val="1"/>
      <w:numFmt w:val="bullet"/>
      <w:lvlText w:val="o"/>
      <w:lvlJc w:val="left"/>
      <w:pPr>
        <w:ind w:left="5760" w:hanging="360"/>
      </w:pPr>
      <w:rPr>
        <w:rFonts w:ascii="Courier New" w:eastAsia="Courier New" w:hAnsi="Courier New" w:cs="Courier New"/>
      </w:rPr>
    </w:lvl>
    <w:lvl w:ilvl="8" w:tplc="09EE6C5C">
      <w:start w:val="1"/>
      <w:numFmt w:val="bullet"/>
      <w:lvlText w:val="▪"/>
      <w:lvlJc w:val="left"/>
      <w:pPr>
        <w:ind w:left="6480" w:hanging="360"/>
      </w:pPr>
      <w:rPr>
        <w:rFonts w:ascii="Noto Sans Symbols" w:eastAsia="Noto Sans Symbols" w:hAnsi="Noto Sans Symbols" w:cs="Noto Sans Symbols"/>
      </w:rPr>
    </w:lvl>
  </w:abstractNum>
  <w:abstractNum w:abstractNumId="7">
    <w:nsid w:val="6DB92C7C"/>
    <w:multiLevelType w:val="hybridMultilevel"/>
    <w:tmpl w:val="863074F0"/>
    <w:lvl w:ilvl="0" w:tplc="A07C2AA0">
      <w:start w:val="1"/>
      <w:numFmt w:val="bullet"/>
      <w:lvlText w:val="●"/>
      <w:lvlJc w:val="left"/>
      <w:pPr>
        <w:ind w:left="720" w:hanging="360"/>
      </w:pPr>
      <w:rPr>
        <w:rFonts w:ascii="Noto Sans Symbols" w:eastAsia="Noto Sans Symbols" w:hAnsi="Noto Sans Symbols" w:cs="Noto Sans Symbols"/>
      </w:rPr>
    </w:lvl>
    <w:lvl w:ilvl="1" w:tplc="C0807278">
      <w:start w:val="1"/>
      <w:numFmt w:val="bullet"/>
      <w:lvlText w:val="o"/>
      <w:lvlJc w:val="left"/>
      <w:pPr>
        <w:ind w:left="1440" w:hanging="360"/>
      </w:pPr>
      <w:rPr>
        <w:rFonts w:ascii="Courier New" w:eastAsia="Courier New" w:hAnsi="Courier New" w:cs="Courier New"/>
      </w:rPr>
    </w:lvl>
    <w:lvl w:ilvl="2" w:tplc="F12826E6">
      <w:start w:val="1"/>
      <w:numFmt w:val="bullet"/>
      <w:lvlText w:val="▪"/>
      <w:lvlJc w:val="left"/>
      <w:pPr>
        <w:ind w:left="2160" w:hanging="360"/>
      </w:pPr>
      <w:rPr>
        <w:rFonts w:ascii="Noto Sans Symbols" w:eastAsia="Noto Sans Symbols" w:hAnsi="Noto Sans Symbols" w:cs="Noto Sans Symbols"/>
      </w:rPr>
    </w:lvl>
    <w:lvl w:ilvl="3" w:tplc="9C085AAE">
      <w:start w:val="1"/>
      <w:numFmt w:val="bullet"/>
      <w:lvlText w:val="●"/>
      <w:lvlJc w:val="left"/>
      <w:pPr>
        <w:ind w:left="2880" w:hanging="360"/>
      </w:pPr>
      <w:rPr>
        <w:rFonts w:ascii="Noto Sans Symbols" w:eastAsia="Noto Sans Symbols" w:hAnsi="Noto Sans Symbols" w:cs="Noto Sans Symbols"/>
      </w:rPr>
    </w:lvl>
    <w:lvl w:ilvl="4" w:tplc="49A22C20">
      <w:start w:val="1"/>
      <w:numFmt w:val="bullet"/>
      <w:lvlText w:val="o"/>
      <w:lvlJc w:val="left"/>
      <w:pPr>
        <w:ind w:left="3600" w:hanging="360"/>
      </w:pPr>
      <w:rPr>
        <w:rFonts w:ascii="Courier New" w:eastAsia="Courier New" w:hAnsi="Courier New" w:cs="Courier New"/>
      </w:rPr>
    </w:lvl>
    <w:lvl w:ilvl="5" w:tplc="3BF2426C">
      <w:start w:val="1"/>
      <w:numFmt w:val="bullet"/>
      <w:lvlText w:val="▪"/>
      <w:lvlJc w:val="left"/>
      <w:pPr>
        <w:ind w:left="4320" w:hanging="360"/>
      </w:pPr>
      <w:rPr>
        <w:rFonts w:ascii="Noto Sans Symbols" w:eastAsia="Noto Sans Symbols" w:hAnsi="Noto Sans Symbols" w:cs="Noto Sans Symbols"/>
      </w:rPr>
    </w:lvl>
    <w:lvl w:ilvl="6" w:tplc="9AC84F90">
      <w:start w:val="1"/>
      <w:numFmt w:val="bullet"/>
      <w:lvlText w:val="●"/>
      <w:lvlJc w:val="left"/>
      <w:pPr>
        <w:ind w:left="5040" w:hanging="360"/>
      </w:pPr>
      <w:rPr>
        <w:rFonts w:ascii="Noto Sans Symbols" w:eastAsia="Noto Sans Symbols" w:hAnsi="Noto Sans Symbols" w:cs="Noto Sans Symbols"/>
      </w:rPr>
    </w:lvl>
    <w:lvl w:ilvl="7" w:tplc="DA5A54BC">
      <w:start w:val="1"/>
      <w:numFmt w:val="bullet"/>
      <w:lvlText w:val="o"/>
      <w:lvlJc w:val="left"/>
      <w:pPr>
        <w:ind w:left="5760" w:hanging="360"/>
      </w:pPr>
      <w:rPr>
        <w:rFonts w:ascii="Courier New" w:eastAsia="Courier New" w:hAnsi="Courier New" w:cs="Courier New"/>
      </w:rPr>
    </w:lvl>
    <w:lvl w:ilvl="8" w:tplc="3EF6CE08">
      <w:start w:val="1"/>
      <w:numFmt w:val="bullet"/>
      <w:lvlText w:val="▪"/>
      <w:lvlJc w:val="left"/>
      <w:pPr>
        <w:ind w:left="6480" w:hanging="360"/>
      </w:pPr>
      <w:rPr>
        <w:rFonts w:ascii="Noto Sans Symbols" w:eastAsia="Noto Sans Symbols" w:hAnsi="Noto Sans Symbols" w:cs="Noto Sans Symbols"/>
      </w:rPr>
    </w:lvl>
  </w:abstractNum>
  <w:abstractNum w:abstractNumId="8">
    <w:nsid w:val="71FB7232"/>
    <w:multiLevelType w:val="hybridMultilevel"/>
    <w:tmpl w:val="798E9E32"/>
    <w:lvl w:ilvl="0" w:tplc="96560AB6">
      <w:start w:val="1"/>
      <w:numFmt w:val="bullet"/>
      <w:lvlText w:val="●"/>
      <w:lvlJc w:val="left"/>
      <w:pPr>
        <w:ind w:left="720" w:hanging="360"/>
      </w:pPr>
      <w:rPr>
        <w:rFonts w:ascii="Noto Sans Symbols" w:eastAsia="Noto Sans Symbols" w:hAnsi="Noto Sans Symbols" w:cs="Noto Sans Symbols"/>
      </w:rPr>
    </w:lvl>
    <w:lvl w:ilvl="1" w:tplc="60448856">
      <w:start w:val="1"/>
      <w:numFmt w:val="bullet"/>
      <w:lvlText w:val="o"/>
      <w:lvlJc w:val="left"/>
      <w:pPr>
        <w:ind w:left="1440" w:hanging="360"/>
      </w:pPr>
      <w:rPr>
        <w:rFonts w:ascii="Courier New" w:eastAsia="Courier New" w:hAnsi="Courier New" w:cs="Courier New"/>
      </w:rPr>
    </w:lvl>
    <w:lvl w:ilvl="2" w:tplc="B6FC64EE">
      <w:start w:val="1"/>
      <w:numFmt w:val="bullet"/>
      <w:lvlText w:val="▪"/>
      <w:lvlJc w:val="left"/>
      <w:pPr>
        <w:ind w:left="2160" w:hanging="360"/>
      </w:pPr>
      <w:rPr>
        <w:rFonts w:ascii="Noto Sans Symbols" w:eastAsia="Noto Sans Symbols" w:hAnsi="Noto Sans Symbols" w:cs="Noto Sans Symbols"/>
      </w:rPr>
    </w:lvl>
    <w:lvl w:ilvl="3" w:tplc="864CA5F4">
      <w:start w:val="1"/>
      <w:numFmt w:val="bullet"/>
      <w:lvlText w:val="●"/>
      <w:lvlJc w:val="left"/>
      <w:pPr>
        <w:ind w:left="2880" w:hanging="360"/>
      </w:pPr>
      <w:rPr>
        <w:rFonts w:ascii="Noto Sans Symbols" w:eastAsia="Noto Sans Symbols" w:hAnsi="Noto Sans Symbols" w:cs="Noto Sans Symbols"/>
      </w:rPr>
    </w:lvl>
    <w:lvl w:ilvl="4" w:tplc="F1A4C074">
      <w:start w:val="1"/>
      <w:numFmt w:val="bullet"/>
      <w:lvlText w:val="o"/>
      <w:lvlJc w:val="left"/>
      <w:pPr>
        <w:ind w:left="3600" w:hanging="360"/>
      </w:pPr>
      <w:rPr>
        <w:rFonts w:ascii="Courier New" w:eastAsia="Courier New" w:hAnsi="Courier New" w:cs="Courier New"/>
      </w:rPr>
    </w:lvl>
    <w:lvl w:ilvl="5" w:tplc="B8AC567C">
      <w:start w:val="1"/>
      <w:numFmt w:val="bullet"/>
      <w:lvlText w:val="▪"/>
      <w:lvlJc w:val="left"/>
      <w:pPr>
        <w:ind w:left="4320" w:hanging="360"/>
      </w:pPr>
      <w:rPr>
        <w:rFonts w:ascii="Noto Sans Symbols" w:eastAsia="Noto Sans Symbols" w:hAnsi="Noto Sans Symbols" w:cs="Noto Sans Symbols"/>
      </w:rPr>
    </w:lvl>
    <w:lvl w:ilvl="6" w:tplc="413045FC">
      <w:start w:val="1"/>
      <w:numFmt w:val="bullet"/>
      <w:lvlText w:val="●"/>
      <w:lvlJc w:val="left"/>
      <w:pPr>
        <w:ind w:left="5040" w:hanging="360"/>
      </w:pPr>
      <w:rPr>
        <w:rFonts w:ascii="Noto Sans Symbols" w:eastAsia="Noto Sans Symbols" w:hAnsi="Noto Sans Symbols" w:cs="Noto Sans Symbols"/>
      </w:rPr>
    </w:lvl>
    <w:lvl w:ilvl="7" w:tplc="23ACEE0C">
      <w:start w:val="1"/>
      <w:numFmt w:val="bullet"/>
      <w:lvlText w:val="o"/>
      <w:lvlJc w:val="left"/>
      <w:pPr>
        <w:ind w:left="5760" w:hanging="360"/>
      </w:pPr>
      <w:rPr>
        <w:rFonts w:ascii="Courier New" w:eastAsia="Courier New" w:hAnsi="Courier New" w:cs="Courier New"/>
      </w:rPr>
    </w:lvl>
    <w:lvl w:ilvl="8" w:tplc="E68409CC">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5"/>
  </w:num>
  <w:num w:numId="3">
    <w:abstractNumId w:val="8"/>
  </w:num>
  <w:num w:numId="4">
    <w:abstractNumId w:val="1"/>
  </w:num>
  <w:num w:numId="5">
    <w:abstractNumId w:val="3"/>
  </w:num>
  <w:num w:numId="6">
    <w:abstractNumId w:val="6"/>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C3783"/>
    <w:rsid w:val="002A7199"/>
    <w:rsid w:val="009C3783"/>
    <w:rsid w:val="00D3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UGPADMIN</dc:creator>
  <cp:lastModifiedBy>Charline</cp:lastModifiedBy>
  <cp:revision>3</cp:revision>
  <dcterms:created xsi:type="dcterms:W3CDTF">2025-02-24T20:53:00Z</dcterms:created>
  <dcterms:modified xsi:type="dcterms:W3CDTF">2025-02-24T21:09:00Z</dcterms:modified>
</cp:coreProperties>
</file>