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110AE" w14:textId="77777777" w:rsidR="00DF06B5" w:rsidRPr="004F788B" w:rsidRDefault="00DF06B5" w:rsidP="00DF06B5">
      <w:pPr>
        <w:suppressAutoHyphens/>
        <w:jc w:val="center"/>
        <w:rPr>
          <w:b/>
          <w:spacing w:val="-2"/>
          <w:szCs w:val="24"/>
          <w:u w:val="single"/>
          <w:lang w:val="fr-FR"/>
        </w:rPr>
      </w:pPr>
      <w:r w:rsidRPr="004F788B">
        <w:rPr>
          <w:b/>
          <w:spacing w:val="-2"/>
          <w:szCs w:val="24"/>
          <w:u w:val="single"/>
          <w:lang w:val="fr-FR"/>
        </w:rPr>
        <w:t>SOLLICITATION DE MANIFESTATIONS D’INTERET</w:t>
      </w:r>
    </w:p>
    <w:p w14:paraId="49499E41" w14:textId="77777777" w:rsidR="00DF06B5" w:rsidRPr="004F788B" w:rsidRDefault="00DF06B5" w:rsidP="00DF06B5">
      <w:pPr>
        <w:suppressAutoHyphens/>
        <w:jc w:val="center"/>
        <w:rPr>
          <w:b/>
          <w:spacing w:val="-2"/>
          <w:szCs w:val="24"/>
          <w:u w:val="single"/>
          <w:lang w:val="fr-FR"/>
        </w:rPr>
      </w:pPr>
    </w:p>
    <w:p w14:paraId="2849028D" w14:textId="77777777" w:rsidR="00DF06B5" w:rsidRPr="004F788B" w:rsidRDefault="00DF06B5" w:rsidP="00DF06B5">
      <w:pPr>
        <w:suppressAutoHyphens/>
        <w:jc w:val="center"/>
        <w:rPr>
          <w:b/>
          <w:spacing w:val="-2"/>
          <w:szCs w:val="24"/>
          <w:u w:val="single"/>
          <w:lang w:val="fr-FR"/>
        </w:rPr>
      </w:pPr>
      <w:r w:rsidRPr="004F788B">
        <w:rPr>
          <w:b/>
          <w:spacing w:val="-2"/>
          <w:szCs w:val="24"/>
          <w:u w:val="single"/>
          <w:lang w:val="fr-FR"/>
        </w:rPr>
        <w:t xml:space="preserve">SELECTION DE </w:t>
      </w:r>
      <w:proofErr w:type="gramStart"/>
      <w:r w:rsidRPr="004F788B">
        <w:rPr>
          <w:b/>
          <w:spacing w:val="-2"/>
          <w:szCs w:val="24"/>
          <w:u w:val="single"/>
          <w:lang w:val="fr-FR"/>
        </w:rPr>
        <w:t>CONSULTANT</w:t>
      </w:r>
      <w:r>
        <w:rPr>
          <w:b/>
          <w:spacing w:val="-2"/>
          <w:szCs w:val="24"/>
          <w:u w:val="single"/>
          <w:lang w:val="fr-FR"/>
        </w:rPr>
        <w:t>.E.</w:t>
      </w:r>
      <w:r w:rsidRPr="004F788B">
        <w:rPr>
          <w:b/>
          <w:spacing w:val="-2"/>
          <w:szCs w:val="24"/>
          <w:u w:val="single"/>
          <w:lang w:val="fr-FR"/>
        </w:rPr>
        <w:t>S</w:t>
      </w:r>
      <w:proofErr w:type="gramEnd"/>
      <w:r w:rsidRPr="004F788B">
        <w:rPr>
          <w:b/>
          <w:spacing w:val="-2"/>
          <w:szCs w:val="24"/>
          <w:u w:val="single"/>
          <w:lang w:val="fr-FR"/>
        </w:rPr>
        <w:t xml:space="preserve"> PAR LES EMPRUNTEURS DE LA BANQUE MONDIALE</w:t>
      </w:r>
    </w:p>
    <w:p w14:paraId="13F39405" w14:textId="77777777" w:rsidR="00DF06B5" w:rsidRPr="004F788B" w:rsidRDefault="00DF06B5" w:rsidP="00DF06B5">
      <w:pPr>
        <w:suppressAutoHyphens/>
        <w:jc w:val="center"/>
        <w:rPr>
          <w:b/>
          <w:spacing w:val="-2"/>
          <w:szCs w:val="24"/>
          <w:u w:val="single"/>
          <w:lang w:val="fr-FR"/>
        </w:rPr>
      </w:pPr>
    </w:p>
    <w:p w14:paraId="02825185" w14:textId="77777777" w:rsidR="00DF06B5" w:rsidRPr="004F788B" w:rsidRDefault="00DF06B5" w:rsidP="00DF06B5">
      <w:pPr>
        <w:suppressAutoHyphens/>
        <w:rPr>
          <w:spacing w:val="-2"/>
          <w:szCs w:val="24"/>
          <w:lang w:val="fr-FR"/>
        </w:rPr>
      </w:pPr>
    </w:p>
    <w:p w14:paraId="5C7E1CA7" w14:textId="77777777" w:rsidR="00DF06B5" w:rsidRPr="004F788B" w:rsidRDefault="00DF06B5" w:rsidP="00DF06B5">
      <w:pPr>
        <w:suppressAutoHyphens/>
        <w:rPr>
          <w:spacing w:val="-2"/>
          <w:szCs w:val="24"/>
          <w:lang w:val="fr-FR"/>
        </w:rPr>
      </w:pPr>
      <w:r w:rsidRPr="004F788B">
        <w:rPr>
          <w:color w:val="111111"/>
          <w:szCs w:val="24"/>
          <w:shd w:val="clear" w:color="auto" w:fill="FFFFFF"/>
          <w:lang w:val="fr-FR"/>
        </w:rPr>
        <w:t>République d’</w:t>
      </w:r>
      <w:r w:rsidRPr="004F788B">
        <w:rPr>
          <w:spacing w:val="-2"/>
          <w:szCs w:val="24"/>
          <w:lang w:val="fr-FR"/>
        </w:rPr>
        <w:t>HAITI</w:t>
      </w:r>
    </w:p>
    <w:p w14:paraId="6D1E1B7E" w14:textId="77777777" w:rsidR="00DF06B5" w:rsidRPr="004F788B" w:rsidRDefault="00DF06B5" w:rsidP="00DF06B5">
      <w:pPr>
        <w:suppressAutoHyphens/>
        <w:rPr>
          <w:spacing w:val="-2"/>
          <w:szCs w:val="24"/>
          <w:lang w:val="fr-FR"/>
        </w:rPr>
      </w:pPr>
    </w:p>
    <w:p w14:paraId="3711A609" w14:textId="77777777" w:rsidR="00DF06B5" w:rsidRPr="004F788B" w:rsidRDefault="00DF06B5" w:rsidP="00DF06B5">
      <w:pPr>
        <w:rPr>
          <w:spacing w:val="-2"/>
          <w:szCs w:val="24"/>
          <w:lang w:val="fr-FR"/>
        </w:rPr>
      </w:pPr>
      <w:r w:rsidRPr="004F788B">
        <w:rPr>
          <w:spacing w:val="-2"/>
          <w:szCs w:val="24"/>
          <w:lang w:val="fr-FR"/>
        </w:rPr>
        <w:t>Promouvoir une Education plus Equitable, Durable et Sûre (PROMESSE)</w:t>
      </w:r>
    </w:p>
    <w:p w14:paraId="3B1B8B73" w14:textId="77777777" w:rsidR="00DF06B5" w:rsidRPr="004F788B" w:rsidRDefault="00DF06B5" w:rsidP="00DF06B5">
      <w:pPr>
        <w:rPr>
          <w:spacing w:val="-2"/>
          <w:szCs w:val="24"/>
          <w:lang w:val="fr-FR"/>
        </w:rPr>
      </w:pPr>
    </w:p>
    <w:p w14:paraId="2AC18F00" w14:textId="77777777" w:rsidR="00DF06B5" w:rsidRDefault="00DF06B5" w:rsidP="00DF06B5">
      <w:pPr>
        <w:rPr>
          <w:b/>
          <w:szCs w:val="24"/>
          <w:lang w:val="fr-FR"/>
        </w:rPr>
      </w:pPr>
      <w:r w:rsidRPr="00F35A89">
        <w:rPr>
          <w:b/>
          <w:szCs w:val="24"/>
          <w:lang w:val="fr-FR"/>
        </w:rPr>
        <w:t>SUPERVISION DES TRAVAUX D’ADAPTATION ET DE RECONSTRUCTION DANS LE GRAND SUD</w:t>
      </w:r>
    </w:p>
    <w:p w14:paraId="5E97ACC5" w14:textId="77777777" w:rsidR="00DF06B5" w:rsidRPr="004F788B" w:rsidRDefault="00DF06B5" w:rsidP="00DF06B5">
      <w:pPr>
        <w:rPr>
          <w:spacing w:val="-2"/>
          <w:szCs w:val="24"/>
          <w:lang w:val="fr-FR"/>
        </w:rPr>
      </w:pPr>
    </w:p>
    <w:p w14:paraId="56EF137A" w14:textId="6F6703A9" w:rsidR="00DF06B5" w:rsidRPr="004F788B" w:rsidRDefault="00DF06B5" w:rsidP="00DF06B5">
      <w:pPr>
        <w:pStyle w:val="BodyText"/>
        <w:rPr>
          <w:rFonts w:ascii="Times New Roman" w:hAnsi="Times New Roman"/>
          <w:szCs w:val="24"/>
          <w:lang w:val="fr-FR"/>
        </w:rPr>
      </w:pPr>
      <w:r w:rsidRPr="004F788B">
        <w:rPr>
          <w:rFonts w:ascii="Times New Roman" w:hAnsi="Times New Roman"/>
          <w:szCs w:val="24"/>
          <w:lang w:val="fr-FR"/>
        </w:rPr>
        <w:t>No du Don : no. D9730HT</w:t>
      </w:r>
    </w:p>
    <w:p w14:paraId="67B03ED3" w14:textId="77777777" w:rsidR="00DF06B5" w:rsidRPr="006F1ED5" w:rsidRDefault="00DF06B5" w:rsidP="00DF06B5">
      <w:pPr>
        <w:spacing w:before="100" w:beforeAutospacing="1" w:after="100" w:afterAutospacing="1"/>
        <w:rPr>
          <w:szCs w:val="24"/>
          <w:lang w:val="fr-HT" w:eastAsia="fr-HT"/>
        </w:rPr>
      </w:pPr>
      <w:r w:rsidRPr="006F1ED5">
        <w:rPr>
          <w:szCs w:val="24"/>
          <w:lang w:val="fr-HT" w:eastAsia="fr-HT"/>
        </w:rPr>
        <w:t xml:space="preserve">No. </w:t>
      </w:r>
      <w:proofErr w:type="gramStart"/>
      <w:r w:rsidRPr="006F1ED5">
        <w:rPr>
          <w:szCs w:val="24"/>
          <w:lang w:val="fr-HT" w:eastAsia="fr-HT"/>
        </w:rPr>
        <w:t>de</w:t>
      </w:r>
      <w:proofErr w:type="gramEnd"/>
      <w:r w:rsidRPr="006F1ED5">
        <w:rPr>
          <w:szCs w:val="24"/>
          <w:lang w:val="fr-HT" w:eastAsia="fr-HT"/>
        </w:rPr>
        <w:t xml:space="preserve"> référence (selon le Plan de Passation des marchés): HT-PEQH-412633-CS-QCBS</w:t>
      </w:r>
    </w:p>
    <w:p w14:paraId="3B62C756" w14:textId="077121ED" w:rsidR="00DF06B5" w:rsidRPr="00DF06B5" w:rsidRDefault="00DF06B5" w:rsidP="00DF06B5">
      <w:pPr>
        <w:spacing w:before="100" w:beforeAutospacing="1" w:after="100" w:afterAutospacing="1"/>
        <w:jc w:val="both"/>
        <w:rPr>
          <w:szCs w:val="24"/>
          <w:lang w:val="fr-HT" w:eastAsia="fr-HT"/>
        </w:rPr>
      </w:pPr>
      <w:r w:rsidRPr="006F1ED5">
        <w:rPr>
          <w:szCs w:val="24"/>
          <w:lang w:val="fr-HT" w:eastAsia="fr-HT"/>
        </w:rPr>
        <w:t>Le Ministère de l’Education Nationale et de la Formation Professionnelle (MENFP) a reçu</w:t>
      </w:r>
      <w:r w:rsidRPr="006F1ED5">
        <w:rPr>
          <w:i/>
          <w:iCs/>
          <w:szCs w:val="24"/>
          <w:lang w:val="fr-HT" w:eastAsia="fr-HT"/>
        </w:rPr>
        <w:t xml:space="preserve"> </w:t>
      </w:r>
      <w:r w:rsidRPr="006F1ED5">
        <w:rPr>
          <w:szCs w:val="24"/>
          <w:lang w:val="fr-HT" w:eastAsia="fr-HT"/>
        </w:rPr>
        <w:t>un Don</w:t>
      </w:r>
      <w:r w:rsidRPr="006F1ED5">
        <w:rPr>
          <w:i/>
          <w:iCs/>
          <w:szCs w:val="24"/>
          <w:lang w:val="fr-HT" w:eastAsia="fr-HT"/>
        </w:rPr>
        <w:t xml:space="preserve"> </w:t>
      </w:r>
      <w:r w:rsidRPr="006F1ED5">
        <w:rPr>
          <w:szCs w:val="24"/>
          <w:lang w:val="fr-HT" w:eastAsia="fr-HT"/>
        </w:rPr>
        <w:t>de l’Association internationale de développement (IDA) no. D9730HT</w:t>
      </w:r>
      <w:r w:rsidRPr="006F1ED5">
        <w:rPr>
          <w:i/>
          <w:iCs/>
          <w:szCs w:val="24"/>
          <w:lang w:val="fr-HT" w:eastAsia="fr-HT"/>
        </w:rPr>
        <w:t xml:space="preserve">, </w:t>
      </w:r>
      <w:r w:rsidRPr="006F1ED5">
        <w:rPr>
          <w:szCs w:val="24"/>
          <w:lang w:val="fr-HT" w:eastAsia="fr-HT"/>
        </w:rPr>
        <w:t>et a l’intention d’utiliser une partie du montant de ce Don</w:t>
      </w:r>
      <w:r w:rsidRPr="006F1ED5">
        <w:rPr>
          <w:i/>
          <w:iCs/>
          <w:szCs w:val="24"/>
          <w:lang w:val="fr-HT" w:eastAsia="fr-HT"/>
        </w:rPr>
        <w:t xml:space="preserve"> </w:t>
      </w:r>
      <w:r w:rsidRPr="006F1ED5">
        <w:rPr>
          <w:szCs w:val="24"/>
          <w:lang w:val="fr-HT" w:eastAsia="fr-HT"/>
        </w:rPr>
        <w:t xml:space="preserve">pour effectuer les paiements au titre du contrat suivant : </w:t>
      </w:r>
      <w:r w:rsidRPr="006F1ED5">
        <w:rPr>
          <w:b/>
          <w:bCs/>
          <w:i/>
          <w:iCs/>
          <w:szCs w:val="24"/>
          <w:lang w:val="fr-HT" w:eastAsia="fr-HT"/>
        </w:rPr>
        <w:t>Supervision de travaux de réhabilitation et renforcement de 15 écoles dans le Grand Sud</w:t>
      </w:r>
      <w:r w:rsidRPr="006F1ED5">
        <w:rPr>
          <w:b/>
          <w:bCs/>
          <w:szCs w:val="24"/>
          <w:lang w:val="fr-HT" w:eastAsia="fr-HT"/>
        </w:rPr>
        <w:t>.</w:t>
      </w:r>
    </w:p>
    <w:p w14:paraId="6691EE55" w14:textId="77777777" w:rsidR="00DF06B5" w:rsidRPr="006F1ED5" w:rsidRDefault="00DF06B5" w:rsidP="00DF06B5">
      <w:pPr>
        <w:spacing w:before="100" w:beforeAutospacing="1" w:after="100" w:afterAutospacing="1"/>
        <w:jc w:val="both"/>
        <w:rPr>
          <w:szCs w:val="24"/>
          <w:lang w:val="fr-HT" w:eastAsia="fr-HT"/>
        </w:rPr>
      </w:pPr>
      <w:r w:rsidRPr="006F1ED5">
        <w:rPr>
          <w:szCs w:val="24"/>
          <w:lang w:val="fr-HT" w:eastAsia="fr-HT"/>
        </w:rPr>
        <w:t>L’objectif de la mission est d’assurer, pour le compte de l’Unité de Gestion de Projets (UGP), les prestations de supervision des travaux de Réhabilitation et de Renforcement de quinze (15) écoles publiques, dans les départements du Sud, des Nippes, et de la Grand Anse. La durée correspondant au délai d’exécution des travaux de l’ensemble des lots augmenté d’un (1) mois. Cependant, il sera libéré de ses obligations contractuelles à la fin de la période de garantie fixée à douze (12) mois à partir de la date d’achèvement des travaux de chacune des écoles.</w:t>
      </w:r>
    </w:p>
    <w:p w14:paraId="4D2D1113" w14:textId="77777777" w:rsidR="00DF06B5" w:rsidRPr="00DF06B5" w:rsidRDefault="00DF06B5" w:rsidP="00DF06B5">
      <w:pPr>
        <w:jc w:val="both"/>
        <w:rPr>
          <w:i/>
          <w:szCs w:val="24"/>
          <w:lang w:val="fr-HT"/>
        </w:rPr>
      </w:pPr>
    </w:p>
    <w:p w14:paraId="54F4E656" w14:textId="77777777" w:rsidR="00DF06B5" w:rsidRPr="00EA6190" w:rsidRDefault="00DF06B5" w:rsidP="00DF06B5">
      <w:pPr>
        <w:jc w:val="both"/>
        <w:rPr>
          <w:szCs w:val="24"/>
          <w:lang w:val="fr-FR"/>
        </w:rPr>
      </w:pPr>
      <w:r w:rsidRPr="00F35A89">
        <w:rPr>
          <w:szCs w:val="24"/>
          <w:lang w:val="fr-029"/>
        </w:rPr>
        <w:t>L’UGP-MENFP</w:t>
      </w:r>
      <w:r w:rsidRPr="00F35A89">
        <w:rPr>
          <w:iCs/>
          <w:szCs w:val="24"/>
          <w:lang w:val="fr-029"/>
        </w:rPr>
        <w:t xml:space="preserve">, conduisant la présente procédure, invite les </w:t>
      </w:r>
      <w:r>
        <w:rPr>
          <w:iCs/>
          <w:szCs w:val="24"/>
          <w:lang w:val="fr-029"/>
        </w:rPr>
        <w:t>firmes</w:t>
      </w:r>
      <w:r w:rsidRPr="00F35A89">
        <w:rPr>
          <w:iCs/>
          <w:szCs w:val="24"/>
          <w:lang w:val="fr-029"/>
        </w:rPr>
        <w:t xml:space="preserve"> admissibles et légalement constituées à manifester leur intérêt à fournir les services mentionnés ci-dessus. Les consultants intéressés doivent soumettre toutes les informations nécessaires à démontrer qu’ils sont compétents pour fournir lesdits services (description des services dans le cadre de projets similaires, expérience dans des circonstances identiques, personnel clé). </w:t>
      </w:r>
      <w:r w:rsidRPr="00F35A89">
        <w:rPr>
          <w:szCs w:val="24"/>
          <w:lang w:val="fr-029"/>
        </w:rPr>
        <w:t>Les consultants peuvent s’associer pour renforcer leurs compétences respectives. Les manifestations de consultants individuels ne seront pas acceptées</w:t>
      </w:r>
      <w:r>
        <w:rPr>
          <w:szCs w:val="24"/>
          <w:lang w:val="fr-029"/>
        </w:rPr>
        <w:t>.</w:t>
      </w:r>
    </w:p>
    <w:p w14:paraId="52354250" w14:textId="77777777" w:rsidR="00DF06B5" w:rsidRPr="00F35A89" w:rsidRDefault="00DF06B5" w:rsidP="00DF06B5">
      <w:pPr>
        <w:jc w:val="both"/>
        <w:rPr>
          <w:rStyle w:val="cf01"/>
          <w:lang w:val="fr-029"/>
        </w:rPr>
      </w:pPr>
    </w:p>
    <w:p w14:paraId="211A7067" w14:textId="77777777" w:rsidR="00DF06B5" w:rsidRPr="006F1ED5" w:rsidRDefault="00DF06B5" w:rsidP="00DF06B5">
      <w:pPr>
        <w:spacing w:before="100" w:beforeAutospacing="1" w:after="100" w:afterAutospacing="1"/>
        <w:jc w:val="both"/>
        <w:rPr>
          <w:szCs w:val="24"/>
          <w:lang w:val="fr-HT" w:eastAsia="fr-HT"/>
        </w:rPr>
      </w:pPr>
      <w:r w:rsidRPr="006F1ED5">
        <w:rPr>
          <w:szCs w:val="24"/>
          <w:lang w:val="fr-HT" w:eastAsia="fr-HT"/>
        </w:rPr>
        <w:t xml:space="preserve">Les consultant(e)s intéressé(e)s peuvent demander les Termes de Référence </w:t>
      </w:r>
      <w:proofErr w:type="gramStart"/>
      <w:r w:rsidRPr="006F1ED5">
        <w:rPr>
          <w:szCs w:val="24"/>
          <w:lang w:val="fr-HT" w:eastAsia="fr-HT"/>
        </w:rPr>
        <w:t>à  l’adresse</w:t>
      </w:r>
      <w:proofErr w:type="gramEnd"/>
      <w:r w:rsidRPr="006F1ED5">
        <w:rPr>
          <w:szCs w:val="24"/>
          <w:lang w:val="fr-HT" w:eastAsia="fr-HT"/>
        </w:rPr>
        <w:t xml:space="preserve"> email infomarches_UGP@menfp.gouv.ht, pour plus d'informations sur les taches.</w:t>
      </w:r>
    </w:p>
    <w:p w14:paraId="41979C28" w14:textId="77777777" w:rsidR="00DF06B5" w:rsidRPr="00DF06B5" w:rsidRDefault="00DF06B5" w:rsidP="00DF06B5">
      <w:pPr>
        <w:jc w:val="both"/>
        <w:rPr>
          <w:szCs w:val="24"/>
          <w:lang w:val="fr-HT"/>
        </w:rPr>
      </w:pPr>
    </w:p>
    <w:p w14:paraId="704E7349" w14:textId="77777777" w:rsidR="00DF06B5" w:rsidRPr="004F788B" w:rsidRDefault="00DF06B5" w:rsidP="00DF06B5">
      <w:pPr>
        <w:jc w:val="both"/>
        <w:rPr>
          <w:szCs w:val="24"/>
          <w:lang w:val="fr-FR"/>
        </w:rPr>
      </w:pPr>
      <w:r w:rsidRPr="004F788B">
        <w:rPr>
          <w:szCs w:val="24"/>
          <w:lang w:val="fr-FR"/>
        </w:rPr>
        <w:t xml:space="preserve">Il est porté à l’attention des </w:t>
      </w:r>
      <w:proofErr w:type="spellStart"/>
      <w:proofErr w:type="gramStart"/>
      <w:r w:rsidRPr="004F788B">
        <w:rPr>
          <w:szCs w:val="24"/>
          <w:lang w:val="fr-FR"/>
        </w:rPr>
        <w:t>Consultant</w:t>
      </w:r>
      <w:r>
        <w:rPr>
          <w:szCs w:val="24"/>
          <w:lang w:val="fr-FR"/>
        </w:rPr>
        <w:t>.e.</w:t>
      </w:r>
      <w:r w:rsidRPr="004F788B">
        <w:rPr>
          <w:szCs w:val="24"/>
          <w:lang w:val="fr-FR"/>
        </w:rPr>
        <w:t>s</w:t>
      </w:r>
      <w:proofErr w:type="spellEnd"/>
      <w:proofErr w:type="gramEnd"/>
      <w:r w:rsidRPr="004F788B">
        <w:rPr>
          <w:szCs w:val="24"/>
          <w:lang w:val="fr-FR"/>
        </w:rPr>
        <w:t xml:space="preserve"> que les dispositions des paragraphes 3.16 et 3.17 du « </w:t>
      </w:r>
      <w:r w:rsidRPr="004F788B">
        <w:rPr>
          <w:i/>
          <w:szCs w:val="24"/>
          <w:lang w:val="fr-FR"/>
        </w:rPr>
        <w:t>Règlement de Passation des Marchés pour les Emprunteurs sollicitant le Financement de Projets d’Investissement (FPI) </w:t>
      </w:r>
      <w:r w:rsidRPr="004F788B">
        <w:rPr>
          <w:szCs w:val="24"/>
          <w:lang w:val="fr-FR"/>
        </w:rPr>
        <w:t xml:space="preserve">» </w:t>
      </w:r>
      <w:r w:rsidRPr="004F788B">
        <w:rPr>
          <w:i/>
          <w:szCs w:val="24"/>
          <w:lang w:val="fr-FR"/>
        </w:rPr>
        <w:t>édition 2020 (« </w:t>
      </w:r>
      <w:r w:rsidRPr="004F788B">
        <w:rPr>
          <w:szCs w:val="24"/>
          <w:lang w:val="fr-FR"/>
        </w:rPr>
        <w:t>Règlement</w:t>
      </w:r>
      <w:r w:rsidRPr="004F788B">
        <w:rPr>
          <w:i/>
          <w:szCs w:val="24"/>
          <w:lang w:val="fr-FR"/>
        </w:rPr>
        <w:t xml:space="preserve"> »)</w:t>
      </w:r>
      <w:r w:rsidRPr="004F788B">
        <w:rPr>
          <w:szCs w:val="24"/>
          <w:lang w:val="fr-FR"/>
        </w:rPr>
        <w:t xml:space="preserve">, relatives aux règles de la Banque Mondiale en matière de conflit d’intérêts sont applicables. </w:t>
      </w:r>
    </w:p>
    <w:p w14:paraId="0CA99FAC" w14:textId="77777777" w:rsidR="00DF06B5" w:rsidRPr="004F788B" w:rsidRDefault="00DF06B5" w:rsidP="00DF06B5">
      <w:pPr>
        <w:jc w:val="both"/>
        <w:rPr>
          <w:i/>
          <w:szCs w:val="24"/>
          <w:lang w:val="fr-FR"/>
        </w:rPr>
      </w:pPr>
    </w:p>
    <w:p w14:paraId="625F4F8A" w14:textId="77777777" w:rsidR="00DF06B5" w:rsidRPr="004F788B" w:rsidRDefault="00DF06B5" w:rsidP="00DF06B5">
      <w:pPr>
        <w:ind w:right="72"/>
        <w:jc w:val="both"/>
        <w:rPr>
          <w:szCs w:val="24"/>
          <w:lang w:val="fr-FR"/>
        </w:rPr>
      </w:pPr>
      <w:proofErr w:type="spellStart"/>
      <w:proofErr w:type="gramStart"/>
      <w:r w:rsidRPr="004F788B">
        <w:rPr>
          <w:szCs w:val="24"/>
          <w:lang w:val="fr-FR"/>
        </w:rPr>
        <w:t>Un</w:t>
      </w:r>
      <w:r>
        <w:rPr>
          <w:szCs w:val="24"/>
          <w:lang w:val="fr-FR"/>
        </w:rPr>
        <w:t>.e</w:t>
      </w:r>
      <w:proofErr w:type="spellEnd"/>
      <w:proofErr w:type="gramEnd"/>
      <w:r w:rsidRPr="004F788B">
        <w:rPr>
          <w:szCs w:val="24"/>
          <w:lang w:val="fr-FR"/>
        </w:rPr>
        <w:t xml:space="preserve"> </w:t>
      </w:r>
      <w:proofErr w:type="spellStart"/>
      <w:r w:rsidRPr="004F788B">
        <w:rPr>
          <w:szCs w:val="24"/>
          <w:lang w:val="fr-FR"/>
        </w:rPr>
        <w:t>Consultant</w:t>
      </w:r>
      <w:r>
        <w:rPr>
          <w:szCs w:val="24"/>
          <w:lang w:val="fr-FR"/>
        </w:rPr>
        <w:t>.e</w:t>
      </w:r>
      <w:proofErr w:type="spellEnd"/>
      <w:r w:rsidRPr="004F788B">
        <w:rPr>
          <w:szCs w:val="24"/>
          <w:lang w:val="fr-FR"/>
        </w:rPr>
        <w:t xml:space="preserve"> sera </w:t>
      </w:r>
      <w:proofErr w:type="spellStart"/>
      <w:r w:rsidRPr="004F788B">
        <w:rPr>
          <w:szCs w:val="24"/>
          <w:lang w:val="fr-FR"/>
        </w:rPr>
        <w:t>sélectionné</w:t>
      </w:r>
      <w:r>
        <w:rPr>
          <w:szCs w:val="24"/>
          <w:lang w:val="fr-FR"/>
        </w:rPr>
        <w:t>.e</w:t>
      </w:r>
      <w:proofErr w:type="spellEnd"/>
      <w:r w:rsidRPr="004F788B">
        <w:rPr>
          <w:szCs w:val="24"/>
          <w:lang w:val="fr-FR"/>
        </w:rPr>
        <w:t xml:space="preserve"> selon la méthode de Sélection Fondée sur la Qualité et le Coût (SFQC) telle que décrite dans le Règlement. Les </w:t>
      </w:r>
      <w:proofErr w:type="spellStart"/>
      <w:proofErr w:type="gramStart"/>
      <w:r w:rsidRPr="004F788B">
        <w:rPr>
          <w:szCs w:val="24"/>
          <w:lang w:val="fr-FR"/>
        </w:rPr>
        <w:t>Consultant</w:t>
      </w:r>
      <w:r>
        <w:rPr>
          <w:szCs w:val="24"/>
          <w:lang w:val="fr-FR"/>
        </w:rPr>
        <w:t>.e.</w:t>
      </w:r>
      <w:r w:rsidRPr="004F788B">
        <w:rPr>
          <w:szCs w:val="24"/>
          <w:lang w:val="fr-FR"/>
        </w:rPr>
        <w:t>s</w:t>
      </w:r>
      <w:proofErr w:type="spellEnd"/>
      <w:proofErr w:type="gramEnd"/>
      <w:r w:rsidRPr="004F788B">
        <w:rPr>
          <w:szCs w:val="24"/>
          <w:lang w:val="fr-FR"/>
        </w:rPr>
        <w:t xml:space="preserve"> peuvent s’associer pour renforcer leurs compétences respectives sous forme d’un groupement solidaire ou d’un accord de sous-traitant.</w:t>
      </w:r>
    </w:p>
    <w:p w14:paraId="7D7B5AF6" w14:textId="77777777" w:rsidR="00DF06B5" w:rsidRPr="004F788B" w:rsidRDefault="00DF06B5" w:rsidP="00DF06B5">
      <w:pPr>
        <w:ind w:right="72"/>
        <w:jc w:val="both"/>
        <w:rPr>
          <w:szCs w:val="24"/>
          <w:lang w:val="fr-FR"/>
        </w:rPr>
      </w:pPr>
    </w:p>
    <w:p w14:paraId="005D9CE9" w14:textId="2EBCC8F6" w:rsidR="00DF06B5" w:rsidRDefault="00DF06B5" w:rsidP="00DF06B5">
      <w:pPr>
        <w:jc w:val="both"/>
        <w:rPr>
          <w:i/>
          <w:szCs w:val="24"/>
          <w:lang w:val="fr-FR"/>
        </w:rPr>
      </w:pPr>
      <w:r w:rsidRPr="004F788B">
        <w:rPr>
          <w:szCs w:val="24"/>
          <w:lang w:val="fr-FR"/>
        </w:rPr>
        <w:t xml:space="preserve">Les manifestations d’intérêt écrites doivent être déposées </w:t>
      </w:r>
      <w:r>
        <w:rPr>
          <w:szCs w:val="24"/>
          <w:lang w:val="fr-FR"/>
        </w:rPr>
        <w:t xml:space="preserve">en français </w:t>
      </w:r>
      <w:r w:rsidRPr="004F788B">
        <w:rPr>
          <w:szCs w:val="24"/>
          <w:lang w:val="fr-FR"/>
        </w:rPr>
        <w:t xml:space="preserve">à l’adresse ci-dessous en personne, par courrier ou par courrier électronique au plus tard le </w:t>
      </w:r>
      <w:r w:rsidR="0074787D">
        <w:rPr>
          <w:b/>
          <w:bCs/>
          <w:szCs w:val="24"/>
          <w:lang w:val="fr-FR"/>
        </w:rPr>
        <w:t xml:space="preserve">14 </w:t>
      </w:r>
      <w:proofErr w:type="gramStart"/>
      <w:r w:rsidR="0074787D">
        <w:rPr>
          <w:b/>
          <w:bCs/>
          <w:szCs w:val="24"/>
          <w:lang w:val="fr-FR"/>
        </w:rPr>
        <w:t>Juin</w:t>
      </w:r>
      <w:proofErr w:type="gramEnd"/>
      <w:r>
        <w:rPr>
          <w:b/>
          <w:bCs/>
          <w:szCs w:val="24"/>
          <w:lang w:val="fr-FR"/>
        </w:rPr>
        <w:t xml:space="preserve"> 2024 à 16 heures 00PM</w:t>
      </w:r>
      <w:r w:rsidRPr="004F788B">
        <w:rPr>
          <w:i/>
          <w:szCs w:val="24"/>
          <w:lang w:val="fr-FR"/>
        </w:rPr>
        <w:t>.</w:t>
      </w:r>
    </w:p>
    <w:p w14:paraId="22594EC5" w14:textId="77777777" w:rsidR="00DF06B5" w:rsidRPr="004F788B" w:rsidRDefault="00DF06B5" w:rsidP="00DF06B5">
      <w:pPr>
        <w:jc w:val="both"/>
        <w:rPr>
          <w:i/>
          <w:szCs w:val="24"/>
          <w:lang w:val="fr-FR"/>
        </w:rPr>
      </w:pPr>
    </w:p>
    <w:p w14:paraId="572F90EA" w14:textId="77777777" w:rsidR="00DF06B5" w:rsidRPr="004F788B" w:rsidRDefault="00DF06B5" w:rsidP="00DF06B5">
      <w:pPr>
        <w:jc w:val="both"/>
        <w:rPr>
          <w:b/>
          <w:color w:val="000000"/>
          <w:szCs w:val="24"/>
          <w:lang w:val="fr-FR"/>
        </w:rPr>
      </w:pPr>
      <w:r w:rsidRPr="004F788B">
        <w:rPr>
          <w:b/>
          <w:color w:val="000000"/>
          <w:szCs w:val="24"/>
          <w:lang w:val="fr-FR"/>
        </w:rPr>
        <w:t>Bureau de l’UGP-MENFP</w:t>
      </w:r>
    </w:p>
    <w:p w14:paraId="56D755D2" w14:textId="77777777" w:rsidR="00DF06B5" w:rsidRPr="004F788B" w:rsidRDefault="00DF06B5" w:rsidP="00DF06B5">
      <w:pPr>
        <w:jc w:val="both"/>
        <w:rPr>
          <w:b/>
          <w:color w:val="000000"/>
          <w:szCs w:val="24"/>
          <w:lang w:val="fr-FR"/>
        </w:rPr>
      </w:pPr>
      <w:r w:rsidRPr="004F788B">
        <w:rPr>
          <w:b/>
          <w:color w:val="000000"/>
          <w:szCs w:val="24"/>
          <w:lang w:val="fr-FR"/>
        </w:rPr>
        <w:t xml:space="preserve">Adresse : 3, Rue </w:t>
      </w:r>
      <w:proofErr w:type="spellStart"/>
      <w:r w:rsidRPr="004F788B">
        <w:rPr>
          <w:b/>
          <w:color w:val="000000"/>
          <w:szCs w:val="24"/>
          <w:lang w:val="fr-FR"/>
        </w:rPr>
        <w:t>Villevaleix</w:t>
      </w:r>
      <w:proofErr w:type="spellEnd"/>
      <w:r w:rsidRPr="004F788B">
        <w:rPr>
          <w:b/>
          <w:color w:val="000000"/>
          <w:szCs w:val="24"/>
          <w:lang w:val="fr-FR"/>
        </w:rPr>
        <w:t xml:space="preserve"> Péguy-Ville</w:t>
      </w:r>
    </w:p>
    <w:p w14:paraId="1E0439F3" w14:textId="77777777" w:rsidR="00DF06B5" w:rsidRPr="004F788B" w:rsidRDefault="00DF06B5" w:rsidP="00DF06B5">
      <w:pPr>
        <w:jc w:val="both"/>
        <w:rPr>
          <w:b/>
          <w:color w:val="000000"/>
          <w:szCs w:val="24"/>
          <w:lang w:val="fr-FR"/>
        </w:rPr>
      </w:pPr>
      <w:r w:rsidRPr="004F788B">
        <w:rPr>
          <w:b/>
          <w:color w:val="000000"/>
          <w:szCs w:val="24"/>
          <w:lang w:val="fr-FR"/>
        </w:rPr>
        <w:t>Ville </w:t>
      </w:r>
      <w:r w:rsidRPr="004F788B">
        <w:rPr>
          <w:b/>
          <w:iCs/>
          <w:color w:val="000000"/>
          <w:szCs w:val="24"/>
          <w:lang w:val="fr-FR"/>
        </w:rPr>
        <w:t xml:space="preserve">: Pétion-ville </w:t>
      </w:r>
    </w:p>
    <w:p w14:paraId="232FDEE5" w14:textId="77777777" w:rsidR="00DF06B5" w:rsidRPr="004F788B" w:rsidRDefault="00DF06B5" w:rsidP="00DF06B5">
      <w:pPr>
        <w:jc w:val="both"/>
        <w:rPr>
          <w:b/>
          <w:color w:val="000000"/>
          <w:szCs w:val="24"/>
          <w:lang w:val="fr-FR"/>
        </w:rPr>
      </w:pPr>
      <w:r w:rsidRPr="004F788B">
        <w:rPr>
          <w:b/>
          <w:color w:val="000000"/>
          <w:szCs w:val="24"/>
          <w:lang w:val="fr-FR"/>
        </w:rPr>
        <w:t xml:space="preserve">Pays : </w:t>
      </w:r>
      <w:r w:rsidRPr="004F788B">
        <w:rPr>
          <w:b/>
          <w:iCs/>
          <w:color w:val="000000"/>
          <w:szCs w:val="24"/>
          <w:lang w:val="fr-FR"/>
        </w:rPr>
        <w:t>Haïti</w:t>
      </w:r>
    </w:p>
    <w:p w14:paraId="7E86B2D5" w14:textId="77777777" w:rsidR="00DF06B5" w:rsidRPr="004F788B" w:rsidRDefault="00DF06B5" w:rsidP="00DF06B5">
      <w:pPr>
        <w:jc w:val="both"/>
        <w:rPr>
          <w:b/>
          <w:color w:val="000000"/>
          <w:szCs w:val="24"/>
          <w:lang w:val="fr-FR"/>
        </w:rPr>
      </w:pPr>
      <w:r w:rsidRPr="004F788B">
        <w:rPr>
          <w:b/>
          <w:color w:val="000000"/>
          <w:szCs w:val="24"/>
          <w:lang w:val="fr-FR"/>
        </w:rPr>
        <w:t>Téléphone : (509) 2910-2020</w:t>
      </w:r>
    </w:p>
    <w:p w14:paraId="108785B3" w14:textId="77777777" w:rsidR="00DF06B5" w:rsidRDefault="00DF06B5" w:rsidP="00DF06B5">
      <w:pPr>
        <w:jc w:val="both"/>
        <w:rPr>
          <w:color w:val="00B0F0"/>
          <w:szCs w:val="24"/>
          <w:lang w:val="fr-FR"/>
        </w:rPr>
      </w:pPr>
      <w:r w:rsidRPr="004F788B">
        <w:rPr>
          <w:b/>
          <w:color w:val="000000"/>
          <w:szCs w:val="24"/>
          <w:lang w:val="fr-FR"/>
        </w:rPr>
        <w:t xml:space="preserve">Adresse électronique : </w:t>
      </w:r>
      <w:hyperlink r:id="rId6" w:history="1">
        <w:r w:rsidRPr="004F788B">
          <w:rPr>
            <w:rStyle w:val="Hyperlink"/>
            <w:szCs w:val="24"/>
            <w:lang w:val="fr-FR"/>
          </w:rPr>
          <w:t>infomarches_UGP@menfp.gouv.ht</w:t>
        </w:r>
      </w:hyperlink>
      <w:r w:rsidRPr="004F788B">
        <w:rPr>
          <w:color w:val="00B0F0"/>
          <w:szCs w:val="24"/>
          <w:lang w:val="fr-FR"/>
        </w:rPr>
        <w:t xml:space="preserve"> </w:t>
      </w:r>
    </w:p>
    <w:p w14:paraId="3A20E24B" w14:textId="77777777" w:rsidR="00DF06B5" w:rsidRDefault="00DF06B5" w:rsidP="00DF06B5">
      <w:pPr>
        <w:jc w:val="both"/>
        <w:rPr>
          <w:color w:val="00B0F0"/>
          <w:szCs w:val="24"/>
          <w:lang w:val="fr-FR"/>
        </w:rPr>
      </w:pPr>
    </w:p>
    <w:p w14:paraId="1A962EEA" w14:textId="77777777" w:rsidR="00DF06B5" w:rsidRPr="004F788B" w:rsidRDefault="00DF06B5" w:rsidP="00DF06B5">
      <w:pPr>
        <w:jc w:val="right"/>
        <w:rPr>
          <w:color w:val="00B0F0"/>
          <w:szCs w:val="24"/>
          <w:lang w:val="fr-FR"/>
        </w:rPr>
      </w:pPr>
    </w:p>
    <w:p w14:paraId="0E928E6B" w14:textId="77777777" w:rsidR="00DF06B5" w:rsidRPr="004F788B" w:rsidRDefault="00DF06B5" w:rsidP="00DF06B5">
      <w:pPr>
        <w:jc w:val="right"/>
        <w:rPr>
          <w:color w:val="00B0F0"/>
          <w:szCs w:val="24"/>
          <w:lang w:val="fr-FR"/>
        </w:rPr>
      </w:pPr>
    </w:p>
    <w:p w14:paraId="276E5652" w14:textId="77541E81" w:rsidR="00DF06B5" w:rsidRDefault="00DF06B5" w:rsidP="00DF06B5">
      <w:pPr>
        <w:jc w:val="right"/>
        <w:rPr>
          <w:noProof/>
        </w:rPr>
      </w:pPr>
      <w:r w:rsidRPr="00233976">
        <w:rPr>
          <w:noProof/>
        </w:rPr>
        <w:drawing>
          <wp:inline distT="0" distB="0" distL="0" distR="0" wp14:anchorId="67ECDCD7" wp14:editId="4850A734">
            <wp:extent cx="1308100" cy="539750"/>
            <wp:effectExtent l="0" t="0" r="6350" b="0"/>
            <wp:docPr id="1881608359" name="Picture 1" descr="A picture containing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100" cy="539750"/>
                    </a:xfrm>
                    <a:prstGeom prst="rect">
                      <a:avLst/>
                    </a:prstGeom>
                    <a:noFill/>
                    <a:ln>
                      <a:noFill/>
                    </a:ln>
                  </pic:spPr>
                </pic:pic>
              </a:graphicData>
            </a:graphic>
          </wp:inline>
        </w:drawing>
      </w:r>
    </w:p>
    <w:p w14:paraId="4EF24B26" w14:textId="77777777" w:rsidR="00DF06B5" w:rsidRPr="004F788B" w:rsidRDefault="00DF06B5" w:rsidP="00DF06B5">
      <w:pPr>
        <w:jc w:val="right"/>
        <w:rPr>
          <w:b/>
          <w:bCs/>
          <w:szCs w:val="24"/>
          <w:lang w:val="fr-FR"/>
        </w:rPr>
      </w:pPr>
      <w:r w:rsidRPr="004F788B">
        <w:rPr>
          <w:b/>
          <w:bCs/>
          <w:szCs w:val="24"/>
          <w:lang w:val="fr-FR"/>
        </w:rPr>
        <w:t>Coordination de l’UGP-MENFP</w:t>
      </w:r>
    </w:p>
    <w:p w14:paraId="4039D5F5" w14:textId="77777777" w:rsidR="00DF06B5" w:rsidRPr="004F788B" w:rsidRDefault="00DF06B5" w:rsidP="00DF06B5">
      <w:pPr>
        <w:jc w:val="right"/>
        <w:rPr>
          <w:i/>
          <w:szCs w:val="24"/>
          <w:lang w:val="fr-FR"/>
        </w:rPr>
      </w:pPr>
    </w:p>
    <w:p w14:paraId="05D1FA17" w14:textId="77777777" w:rsidR="00DF06B5" w:rsidRPr="00427C3E" w:rsidRDefault="00DF06B5" w:rsidP="00DF06B5">
      <w:pPr>
        <w:suppressAutoHyphens/>
        <w:rPr>
          <w:spacing w:val="-2"/>
          <w:szCs w:val="24"/>
          <w:lang w:val="fr-HT"/>
        </w:rPr>
      </w:pPr>
    </w:p>
    <w:p w14:paraId="70213281" w14:textId="77777777" w:rsidR="00865DBB" w:rsidRDefault="00865DBB"/>
    <w:sectPr w:rsidR="00865DBB" w:rsidSect="00DF06B5">
      <w:headerReference w:type="even" r:id="rId8"/>
      <w:headerReference w:type="default" r:id="rId9"/>
      <w:headerReference w:type="first" r:id="rId10"/>
      <w:endnotePr>
        <w:numFmt w:val="decimal"/>
      </w:endnotePr>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5DAED" w14:textId="77777777" w:rsidR="00175690" w:rsidRDefault="00175690">
      <w:r>
        <w:separator/>
      </w:r>
    </w:p>
  </w:endnote>
  <w:endnote w:type="continuationSeparator" w:id="0">
    <w:p w14:paraId="39D56E18" w14:textId="77777777" w:rsidR="00175690" w:rsidRDefault="0017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E7A14" w14:textId="77777777" w:rsidR="00175690" w:rsidRDefault="00175690">
      <w:r>
        <w:separator/>
      </w:r>
    </w:p>
  </w:footnote>
  <w:footnote w:type="continuationSeparator" w:id="0">
    <w:p w14:paraId="27559C9D" w14:textId="77777777" w:rsidR="00175690" w:rsidRDefault="00175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A2B1F" w14:textId="77777777" w:rsidR="00DF06B5" w:rsidRDefault="00DF06B5">
    <w:pPr>
      <w:pStyle w:val="Header"/>
      <w:tabs>
        <w:tab w:val="clear" w:pos="4320"/>
        <w:tab w:val="clear" w:pos="7200"/>
      </w:tabs>
      <w:jc w:val="right"/>
    </w:pPr>
    <w:r>
      <w:rPr>
        <w:rFonts w:ascii="CG Times" w:hAnsi="CG Times"/>
        <w:sz w:val="22"/>
      </w:rPr>
      <w:t>Page 2 de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9F96C" w14:textId="77777777" w:rsidR="00DF06B5" w:rsidRPr="00040322" w:rsidRDefault="00DF06B5" w:rsidP="00DF06B5">
    <w:pPr>
      <w:spacing w:line="276" w:lineRule="auto"/>
      <w:jc w:val="center"/>
      <w:rPr>
        <w:bCs/>
        <w:i/>
        <w:lang w:val="fr-FR"/>
      </w:rPr>
    </w:pPr>
    <w:r w:rsidRPr="00040322">
      <w:rPr>
        <w:bCs/>
        <w:i/>
        <w:lang w:val="fr-FR"/>
      </w:rPr>
      <w:t>MINISTERE DE L’EDUCATION NATIONALE ET DE LA FORMATION PROFESSIONNELLE (MENFP)</w:t>
    </w:r>
  </w:p>
  <w:p w14:paraId="56828B1C" w14:textId="1D2C2C08" w:rsidR="00DF06B5" w:rsidRPr="00040322" w:rsidRDefault="00DF06B5" w:rsidP="00DF06B5">
    <w:pPr>
      <w:spacing w:line="276" w:lineRule="auto"/>
      <w:jc w:val="center"/>
      <w:rPr>
        <w:b/>
        <w:bCs/>
        <w:i/>
        <w:lang w:val="fr-FR"/>
      </w:rPr>
    </w:pPr>
    <w:r>
      <w:rPr>
        <w:noProof/>
      </w:rPr>
      <w:drawing>
        <wp:anchor distT="0" distB="0" distL="114300" distR="114300" simplePos="0" relativeHeight="251660288" behindDoc="1" locked="0" layoutInCell="1" allowOverlap="1" wp14:anchorId="6373EEEA" wp14:editId="33CEBCC2">
          <wp:simplePos x="0" y="0"/>
          <wp:positionH relativeFrom="column">
            <wp:posOffset>5704205</wp:posOffset>
          </wp:positionH>
          <wp:positionV relativeFrom="paragraph">
            <wp:posOffset>-635</wp:posOffset>
          </wp:positionV>
          <wp:extent cx="1069975" cy="922020"/>
          <wp:effectExtent l="0" t="0" r="0" b="0"/>
          <wp:wrapTight wrapText="bothSides">
            <wp:wrapPolygon edited="0">
              <wp:start x="0" y="0"/>
              <wp:lineTo x="0" y="20975"/>
              <wp:lineTo x="21151" y="20975"/>
              <wp:lineTo x="21151" y="0"/>
              <wp:lineTo x="0" y="0"/>
            </wp:wrapPolygon>
          </wp:wrapTight>
          <wp:docPr id="1989872458"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75"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1A16770" wp14:editId="6A312BD8">
          <wp:simplePos x="0" y="0"/>
          <wp:positionH relativeFrom="column">
            <wp:posOffset>71120</wp:posOffset>
          </wp:positionH>
          <wp:positionV relativeFrom="paragraph">
            <wp:posOffset>6985</wp:posOffset>
          </wp:positionV>
          <wp:extent cx="982980" cy="914400"/>
          <wp:effectExtent l="0" t="0" r="7620" b="0"/>
          <wp:wrapTight wrapText="bothSides">
            <wp:wrapPolygon edited="0">
              <wp:start x="0" y="0"/>
              <wp:lineTo x="0" y="21150"/>
              <wp:lineTo x="21349" y="21150"/>
              <wp:lineTo x="21349" y="0"/>
              <wp:lineTo x="0" y="0"/>
            </wp:wrapPolygon>
          </wp:wrapTight>
          <wp:docPr id="1238447563" name="Picture 2" descr="haitia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aitian embl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98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0322">
      <w:rPr>
        <w:b/>
        <w:bCs/>
        <w:i/>
        <w:lang w:val="fr-FR"/>
      </w:rPr>
      <w:t>UNITE DE GESTION DE PROJETS (UGP)</w:t>
    </w:r>
  </w:p>
  <w:p w14:paraId="691F9A12" w14:textId="77777777" w:rsidR="00DF06B5" w:rsidRPr="00040322" w:rsidRDefault="00DF06B5" w:rsidP="00DF06B5">
    <w:pPr>
      <w:spacing w:line="276" w:lineRule="auto"/>
      <w:jc w:val="center"/>
      <w:rPr>
        <w:bCs/>
        <w:i/>
        <w:lang w:val="fr-FR"/>
      </w:rPr>
    </w:pPr>
    <w:r w:rsidRPr="00040322">
      <w:rPr>
        <w:bCs/>
        <w:i/>
        <w:lang w:val="fr-FR"/>
      </w:rPr>
      <w:t>FINANCEMENT BANQUE MONDIALE (BM)</w:t>
    </w:r>
  </w:p>
  <w:p w14:paraId="7C6689C4" w14:textId="77777777" w:rsidR="00DF06B5" w:rsidRPr="00040322" w:rsidRDefault="00DF06B5" w:rsidP="00DF06B5">
    <w:pPr>
      <w:spacing w:line="276" w:lineRule="auto"/>
      <w:jc w:val="center"/>
      <w:rPr>
        <w:bCs/>
        <w:i/>
        <w:lang w:val="fr-FR"/>
      </w:rPr>
    </w:pPr>
    <w:r w:rsidRPr="00040322">
      <w:rPr>
        <w:bCs/>
        <w:i/>
        <w:lang w:val="fr-FR"/>
      </w:rPr>
      <w:t>PARTENARIAT MONDIAL POUR L’EDUCATION (PME)</w:t>
    </w:r>
  </w:p>
  <w:p w14:paraId="04C00D42" w14:textId="77777777" w:rsidR="00DF06B5" w:rsidRPr="00040322" w:rsidRDefault="00DF06B5">
    <w:pPr>
      <w:pStyle w:val="Header"/>
      <w:rPr>
        <w:lang w:val="fr-FR"/>
      </w:rPr>
    </w:pPr>
  </w:p>
  <w:p w14:paraId="56C94390" w14:textId="77777777" w:rsidR="00DF06B5" w:rsidRPr="00040322" w:rsidRDefault="00DF06B5">
    <w:pPr>
      <w:pStyle w:val="Header"/>
      <w:tabs>
        <w:tab w:val="clear" w:pos="4320"/>
        <w:tab w:val="clear" w:pos="7200"/>
      </w:tabs>
      <w:jc w:val="right"/>
      <w:rPr>
        <w:rFonts w:ascii="CG Times" w:hAnsi="CG Times"/>
        <w:sz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736C2" w14:textId="77777777" w:rsidR="00DF06B5" w:rsidRDefault="00DF06B5">
    <w:pPr>
      <w:pStyle w:val="Header"/>
      <w:tabs>
        <w:tab w:val="clear" w:pos="4320"/>
        <w:tab w:val="clear" w:pos="7200"/>
      </w:tabs>
      <w:jc w:val="right"/>
      <w:rPr>
        <w:rFonts w:ascii="CG Times" w:hAnsi="CG Times"/>
        <w:sz w:val="22"/>
      </w:rPr>
    </w:pPr>
    <w:r>
      <w:rPr>
        <w:rFonts w:ascii="CG Times" w:hAnsi="CG Times"/>
        <w:sz w:val="22"/>
      </w:rPr>
      <w:t>Page 1 de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B5"/>
    <w:rsid w:val="00115EB5"/>
    <w:rsid w:val="00175690"/>
    <w:rsid w:val="005D1A96"/>
    <w:rsid w:val="0074787D"/>
    <w:rsid w:val="007B3B02"/>
    <w:rsid w:val="00865DBB"/>
    <w:rsid w:val="008671F1"/>
    <w:rsid w:val="009616C6"/>
    <w:rsid w:val="009E64E8"/>
    <w:rsid w:val="00C447F2"/>
    <w:rsid w:val="00D40132"/>
    <w:rsid w:val="00D569B3"/>
    <w:rsid w:val="00DF06B5"/>
    <w:rsid w:val="00F856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557C4"/>
  <w15:docId w15:val="{46474E3E-F7B8-4E95-A6F1-C216F086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6B5"/>
    <w:pPr>
      <w:spacing w:after="0" w:line="240" w:lineRule="auto"/>
    </w:pPr>
    <w:rPr>
      <w:rFonts w:ascii="Times New Roman" w:eastAsia="Times New Roman" w:hAnsi="Times New Roman" w:cs="Times New Roman"/>
      <w:kern w:val="0"/>
      <w:sz w:val="24"/>
      <w:szCs w:val="20"/>
      <w:lang w:val="en-US"/>
      <w14:ligatures w14:val="none"/>
    </w:rPr>
  </w:style>
  <w:style w:type="paragraph" w:styleId="Heading1">
    <w:name w:val="heading 1"/>
    <w:basedOn w:val="Normal"/>
    <w:next w:val="Normal"/>
    <w:link w:val="Heading1Char"/>
    <w:uiPriority w:val="9"/>
    <w:qFormat/>
    <w:rsid w:val="00DF06B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F06B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F06B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F06B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F06B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F06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6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6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6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6B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F06B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F06B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F06B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F06B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F06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6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6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6B5"/>
    <w:rPr>
      <w:rFonts w:eastAsiaTheme="majorEastAsia" w:cstheme="majorBidi"/>
      <w:color w:val="272727" w:themeColor="text1" w:themeTint="D8"/>
    </w:rPr>
  </w:style>
  <w:style w:type="paragraph" w:styleId="Title">
    <w:name w:val="Title"/>
    <w:basedOn w:val="Normal"/>
    <w:next w:val="Normal"/>
    <w:link w:val="TitleChar"/>
    <w:uiPriority w:val="10"/>
    <w:qFormat/>
    <w:rsid w:val="00DF06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6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6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6B5"/>
    <w:pPr>
      <w:spacing w:before="160"/>
      <w:jc w:val="center"/>
    </w:pPr>
    <w:rPr>
      <w:i/>
      <w:iCs/>
      <w:color w:val="404040" w:themeColor="text1" w:themeTint="BF"/>
    </w:rPr>
  </w:style>
  <w:style w:type="character" w:customStyle="1" w:styleId="QuoteChar">
    <w:name w:val="Quote Char"/>
    <w:basedOn w:val="DefaultParagraphFont"/>
    <w:link w:val="Quote"/>
    <w:uiPriority w:val="29"/>
    <w:rsid w:val="00DF06B5"/>
    <w:rPr>
      <w:i/>
      <w:iCs/>
      <w:color w:val="404040" w:themeColor="text1" w:themeTint="BF"/>
    </w:rPr>
  </w:style>
  <w:style w:type="paragraph" w:styleId="ListParagraph">
    <w:name w:val="List Paragraph"/>
    <w:basedOn w:val="Normal"/>
    <w:uiPriority w:val="34"/>
    <w:qFormat/>
    <w:rsid w:val="00DF06B5"/>
    <w:pPr>
      <w:ind w:left="720"/>
      <w:contextualSpacing/>
    </w:pPr>
  </w:style>
  <w:style w:type="character" w:styleId="IntenseEmphasis">
    <w:name w:val="Intense Emphasis"/>
    <w:basedOn w:val="DefaultParagraphFont"/>
    <w:uiPriority w:val="21"/>
    <w:qFormat/>
    <w:rsid w:val="00DF06B5"/>
    <w:rPr>
      <w:i/>
      <w:iCs/>
      <w:color w:val="2E74B5" w:themeColor="accent1" w:themeShade="BF"/>
    </w:rPr>
  </w:style>
  <w:style w:type="paragraph" w:styleId="IntenseQuote">
    <w:name w:val="Intense Quote"/>
    <w:basedOn w:val="Normal"/>
    <w:next w:val="Normal"/>
    <w:link w:val="IntenseQuoteChar"/>
    <w:uiPriority w:val="30"/>
    <w:qFormat/>
    <w:rsid w:val="00DF06B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F06B5"/>
    <w:rPr>
      <w:i/>
      <w:iCs/>
      <w:color w:val="2E74B5" w:themeColor="accent1" w:themeShade="BF"/>
    </w:rPr>
  </w:style>
  <w:style w:type="character" w:styleId="IntenseReference">
    <w:name w:val="Intense Reference"/>
    <w:basedOn w:val="DefaultParagraphFont"/>
    <w:uiPriority w:val="32"/>
    <w:qFormat/>
    <w:rsid w:val="00DF06B5"/>
    <w:rPr>
      <w:b/>
      <w:bCs/>
      <w:smallCaps/>
      <w:color w:val="2E74B5" w:themeColor="accent1" w:themeShade="BF"/>
      <w:spacing w:val="5"/>
    </w:rPr>
  </w:style>
  <w:style w:type="paragraph" w:styleId="Header">
    <w:name w:val="header"/>
    <w:basedOn w:val="Normal"/>
    <w:link w:val="HeaderChar"/>
    <w:uiPriority w:val="99"/>
    <w:rsid w:val="00DF06B5"/>
    <w:pPr>
      <w:tabs>
        <w:tab w:val="center" w:pos="4320"/>
        <w:tab w:val="left" w:pos="7200"/>
      </w:tabs>
    </w:pPr>
  </w:style>
  <w:style w:type="character" w:customStyle="1" w:styleId="HeaderChar">
    <w:name w:val="Header Char"/>
    <w:basedOn w:val="DefaultParagraphFont"/>
    <w:link w:val="Header"/>
    <w:uiPriority w:val="99"/>
    <w:rsid w:val="00DF06B5"/>
    <w:rPr>
      <w:rFonts w:ascii="Times New Roman" w:eastAsia="Times New Roman" w:hAnsi="Times New Roman" w:cs="Times New Roman"/>
      <w:kern w:val="0"/>
      <w:sz w:val="24"/>
      <w:szCs w:val="20"/>
      <w:lang w:val="en-US"/>
      <w14:ligatures w14:val="none"/>
    </w:rPr>
  </w:style>
  <w:style w:type="paragraph" w:styleId="BodyText">
    <w:name w:val="Body Text"/>
    <w:basedOn w:val="Normal"/>
    <w:link w:val="BodyTextChar"/>
    <w:rsid w:val="00DF06B5"/>
    <w:pPr>
      <w:suppressAutoHyphens/>
    </w:pPr>
    <w:rPr>
      <w:rFonts w:ascii="CG Times" w:hAnsi="CG Times"/>
      <w:spacing w:val="-2"/>
    </w:rPr>
  </w:style>
  <w:style w:type="character" w:customStyle="1" w:styleId="BodyTextChar">
    <w:name w:val="Body Text Char"/>
    <w:basedOn w:val="DefaultParagraphFont"/>
    <w:link w:val="BodyText"/>
    <w:rsid w:val="00DF06B5"/>
    <w:rPr>
      <w:rFonts w:ascii="CG Times" w:eastAsia="Times New Roman" w:hAnsi="CG Times" w:cs="Times New Roman"/>
      <w:spacing w:val="-2"/>
      <w:kern w:val="0"/>
      <w:sz w:val="24"/>
      <w:szCs w:val="20"/>
      <w:lang w:val="en-US"/>
      <w14:ligatures w14:val="none"/>
    </w:rPr>
  </w:style>
  <w:style w:type="character" w:styleId="Hyperlink">
    <w:name w:val="Hyperlink"/>
    <w:uiPriority w:val="99"/>
    <w:unhideWhenUsed/>
    <w:rsid w:val="00DF06B5"/>
    <w:rPr>
      <w:color w:val="0563C1"/>
      <w:u w:val="single"/>
    </w:rPr>
  </w:style>
  <w:style w:type="character" w:customStyle="1" w:styleId="cf01">
    <w:name w:val="cf01"/>
    <w:rsid w:val="00DF06B5"/>
    <w:rPr>
      <w:rFonts w:ascii="Segoe UI" w:hAnsi="Segoe UI" w:cs="Segoe UI" w:hint="default"/>
      <w:sz w:val="18"/>
      <w:szCs w:val="18"/>
    </w:rPr>
  </w:style>
  <w:style w:type="character" w:customStyle="1" w:styleId="cf11">
    <w:name w:val="cf11"/>
    <w:rsid w:val="00DF06B5"/>
    <w:rPr>
      <w:rFonts w:ascii="Segoe UI" w:hAnsi="Segoe UI" w:cs="Segoe UI" w:hint="default"/>
      <w:sz w:val="18"/>
      <w:szCs w:val="18"/>
    </w:rPr>
  </w:style>
  <w:style w:type="character" w:customStyle="1" w:styleId="cf21">
    <w:name w:val="cf21"/>
    <w:rsid w:val="00DF06B5"/>
    <w:rPr>
      <w:rFonts w:ascii="Segoe UI" w:hAnsi="Segoe UI" w:cs="Segoe UI" w:hint="default"/>
      <w:color w:val="00B0F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arches_UGP@menfp.gouv.h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491</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Geralde Bien-Aimé</dc:creator>
  <cp:keywords/>
  <dc:description/>
  <cp:lastModifiedBy>Marie Geralde Bien-Aimé</cp:lastModifiedBy>
  <cp:revision>3</cp:revision>
  <dcterms:created xsi:type="dcterms:W3CDTF">2024-05-15T00:16:00Z</dcterms:created>
  <dcterms:modified xsi:type="dcterms:W3CDTF">2024-05-27T15:56:00Z</dcterms:modified>
</cp:coreProperties>
</file>