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23FEC8" w14:textId="6DAF7288" w:rsidR="00C133BC" w:rsidRDefault="003E4D2F">
      <w:pPr>
        <w:widowControl w:val="0"/>
        <w:pBdr>
          <w:top w:val="nil"/>
          <w:left w:val="nil"/>
          <w:bottom w:val="nil"/>
          <w:right w:val="nil"/>
          <w:between w:val="nil"/>
        </w:pBdr>
        <w:spacing w:after="0" w:line="276" w:lineRule="auto"/>
      </w:pPr>
      <w:r>
        <w:rPr>
          <w:noProof/>
        </w:rPr>
        <mc:AlternateContent>
          <mc:Choice Requires="wps">
            <w:drawing>
              <wp:anchor distT="0" distB="0" distL="114300" distR="114300" simplePos="0" relativeHeight="251658240" behindDoc="0" locked="0" layoutInCell="1" hidden="0" allowOverlap="1" wp14:anchorId="6223FFF5" wp14:editId="45628ACF">
                <wp:simplePos x="0" y="0"/>
                <wp:positionH relativeFrom="column">
                  <wp:posOffset>-786130</wp:posOffset>
                </wp:positionH>
                <wp:positionV relativeFrom="paragraph">
                  <wp:posOffset>153974</wp:posOffset>
                </wp:positionV>
                <wp:extent cx="7315099" cy="74903"/>
                <wp:effectExtent l="0" t="0" r="635" b="1905"/>
                <wp:wrapNone/>
                <wp:docPr id="576779107" name="Rectangle 576779107"/>
                <wp:cNvGraphicFramePr/>
                <a:graphic xmlns:a="http://schemas.openxmlformats.org/drawingml/2006/main">
                  <a:graphicData uri="http://schemas.microsoft.com/office/word/2010/wordprocessingShape">
                    <wps:wsp>
                      <wps:cNvSpPr/>
                      <wps:spPr>
                        <a:xfrm>
                          <a:off x="0" y="0"/>
                          <a:ext cx="7315099" cy="74903"/>
                        </a:xfrm>
                        <a:prstGeom prst="rect">
                          <a:avLst/>
                        </a:prstGeom>
                        <a:solidFill>
                          <a:srgbClr val="4799B5"/>
                        </a:solidFill>
                        <a:ln>
                          <a:noFill/>
                        </a:ln>
                      </wps:spPr>
                      <wps:txbx>
                        <w:txbxContent>
                          <w:p w14:paraId="6224000E" w14:textId="77777777" w:rsidR="00C133BC" w:rsidRDefault="00C133BC">
                            <w:pPr>
                              <w:spacing w:after="0" w:line="240" w:lineRule="auto"/>
                              <w:textDirection w:val="btLr"/>
                            </w:pPr>
                          </w:p>
                        </w:txbxContent>
                      </wps:txbx>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6223FFF5" id="Rectangle 576779107" o:spid="_x0000_s1026" style="position:absolute;margin-left:-61.9pt;margin-top:12.1pt;width:8in;height:5.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AYPwAEAAHgDAAAOAAAAZHJzL2Uyb0RvYy54bWysU8GO2yAQvVfqPyDujZ1s0tRWnFW7q1SV&#10;Vt1Iu/0AjCFGwkAHEjt/3wG7Sdq9Vb2MGRge770Zb+6HTpOTAK+sqeh8llMiDLeNMoeK/njdffhE&#10;iQ/MNExbIyp6Fp7eb9+/2/SuFAvbWt0IIAhifNm7irYhuDLLPG9Fx/zMOmHwUFroWMAUDlkDrEf0&#10;TmeLPP+Y9RYaB5YL73H3cTyk24QvpeDhWUovAtEVRW4hRUixjjHbblh5AOZaxSca7B9YdEwZfPQC&#10;9cgCI0dQb6A6xcF6K8OM2y6zUioukgZUM8//UvPSMieSFjTHu4tN/v/B8u+nF7cHtKF3vvS4jCoG&#10;CV38Ij8yJLPOF7PEEAjHzfXdfJUXBSUcz9bLIr+LZmbXyw58+CpsR+KiooC9SBax05MPY+nvkviW&#10;t1o1O6V1SuBQP2ggJ4Z9W66L4stqQv+jTJtYbGy8NiLGnewqJa7CUA+Tvto25z0Q7/hOIakn5sOe&#10;ATZ8TkmPQ1BR//PIQFCivxl0uZgvFyucmtsEbpP6NmGGtxZniwegZEweQpq1keXnY7BSJemR10hm&#10;oovtTeZNoxjn5zZPVdcfZvsLAAD//wMAUEsDBBQABgAIAAAAIQC0RmxZ3gAAAAsBAAAPAAAAZHJz&#10;L2Rvd25yZXYueG1sTI/BTsMwEETvSPyDtUhcqtapC20VsqkQiCMSFD7AibdxRLyOYidN/x73BLcd&#10;7WjmTXGYXScmGkLrGWG9ykAQ19603CB8f70t9yBC1Gx055kQLhTgUN7eFDo3/syfNB1jI1IIh1wj&#10;2Bj7XMpQW3I6rHxPnH4nPzgdkxwaaQZ9TuGukyrLttLpllOD1T29WKp/jqNDeH+UY7OIU7h8zDa0&#10;r4ud575CvL+bn59ARJrjnxmu+AkdysRU+ZFNEB3Ccq02iT0iqAcF4urI1D5dFcJmm4EsC/l/Q/kL&#10;AAD//wMAUEsBAi0AFAAGAAgAAAAhALaDOJL+AAAA4QEAABMAAAAAAAAAAAAAAAAAAAAAAFtDb250&#10;ZW50X1R5cGVzXS54bWxQSwECLQAUAAYACAAAACEAOP0h/9YAAACUAQAACwAAAAAAAAAAAAAAAAAv&#10;AQAAX3JlbHMvLnJlbHNQSwECLQAUAAYACAAAACEAAWgGD8ABAAB4AwAADgAAAAAAAAAAAAAAAAAu&#10;AgAAZHJzL2Uyb0RvYy54bWxQSwECLQAUAAYACAAAACEAtEZsWd4AAAALAQAADwAAAAAAAAAAAAAA&#10;AAAaBAAAZHJzL2Rvd25yZXYueG1sUEsFBgAAAAAEAAQA8wAAACUFAAAAAA==&#10;" fillcolor="#4799b5" stroked="f">
                <v:textbox inset="2.53958mm,2.53958mm,2.53958mm,2.53958mm">
                  <w:txbxContent>
                    <w:p w14:paraId="6224000E" w14:textId="77777777" w:rsidR="00C133BC" w:rsidRDefault="00C133BC">
                      <w:pPr>
                        <w:spacing w:after="0" w:line="240" w:lineRule="auto"/>
                        <w:textDirection w:val="btLr"/>
                      </w:pPr>
                    </w:p>
                  </w:txbxContent>
                </v:textbox>
              </v:rect>
            </w:pict>
          </mc:Fallback>
        </mc:AlternateContent>
      </w:r>
    </w:p>
    <w:p w14:paraId="6223FEC9" w14:textId="403934E8" w:rsidR="00C133BC" w:rsidRDefault="00C133BC">
      <w:pPr>
        <w:jc w:val="both"/>
        <w:rPr>
          <w:b/>
        </w:rPr>
      </w:pPr>
    </w:p>
    <w:bookmarkStart w:id="0" w:name="_heading=h.gjdgxs" w:colFirst="0" w:colLast="0"/>
    <w:bookmarkEnd w:id="0"/>
    <w:p w14:paraId="6223FECA" w14:textId="77777777" w:rsidR="00C133BC" w:rsidRDefault="003F5873">
      <w:pPr>
        <w:jc w:val="center"/>
        <w:rPr>
          <w:b/>
        </w:rPr>
      </w:pPr>
      <w:sdt>
        <w:sdtPr>
          <w:tag w:val="goog_rdk_0"/>
          <w:id w:val="-1165154000"/>
        </w:sdtPr>
        <w:sdtEndPr/>
        <w:sdtContent/>
      </w:sdt>
      <w:r w:rsidR="00442C7E">
        <w:rPr>
          <w:b/>
        </w:rPr>
        <w:t>Termes de Référence du consultant pour cartographier la disponibilité et l'adéquation des fourrages en fonction des zones agroécologiques de l’aire d’intervention de PARE</w:t>
      </w:r>
    </w:p>
    <w:p w14:paraId="6223FECB" w14:textId="77777777" w:rsidR="00C133BC" w:rsidRDefault="00442C7E">
      <w:pPr>
        <w:jc w:val="center"/>
        <w:rPr>
          <w:b/>
        </w:rPr>
      </w:pPr>
      <w:r>
        <w:rPr>
          <w:b/>
        </w:rPr>
        <w:t>Programme d’Appui à la Rentabilisation de l’Elevage - PARE</w:t>
      </w:r>
    </w:p>
    <w:p w14:paraId="6223FECC" w14:textId="77777777" w:rsidR="00C133BC" w:rsidRDefault="00C133BC">
      <w:pPr>
        <w:jc w:val="center"/>
        <w:rPr>
          <w:b/>
        </w:rPr>
      </w:pPr>
    </w:p>
    <w:p w14:paraId="6223FECD" w14:textId="77777777" w:rsidR="00C133BC" w:rsidRDefault="00442C7E">
      <w:pPr>
        <w:pStyle w:val="Heading1"/>
        <w:numPr>
          <w:ilvl w:val="0"/>
          <w:numId w:val="5"/>
        </w:numPr>
      </w:pPr>
      <w:bookmarkStart w:id="1" w:name="_heading=h.30j0zll" w:colFirst="0" w:colLast="0"/>
      <w:bookmarkEnd w:id="1"/>
      <w:r>
        <w:t>Contexte</w:t>
      </w:r>
    </w:p>
    <w:p w14:paraId="6223FECE" w14:textId="77777777" w:rsidR="00C133BC" w:rsidRDefault="00442C7E">
      <w:pPr>
        <w:jc w:val="both"/>
      </w:pPr>
      <w:r>
        <w:t>Le Programme d'Appui à la Rentabilisation de l'Elevage (PARE) est une activité quinquennale mise en œuvre par Land O'Lakes Venture37 en partenariat avec Heifer International (Heifer) et Papyrus S.A.  Ce programme est financé par l’Agence Américaine pour le Développement International (USAID), à travers l’initiative Feed the Future, sur la période 2023-2028. PARE vise à augmenter la résilience des ménages et des communautés dans les deux zones de résilience (RFZ du Nord et RFZ du Sud) grâce à l'amélioration des systèmes de marché du bétail. Ce but est soutenu par trois objectifs principaux et interdépendants :</w:t>
      </w:r>
    </w:p>
    <w:p w14:paraId="6223FECF" w14:textId="77777777" w:rsidR="00C133BC" w:rsidRDefault="00442C7E">
      <w:pPr>
        <w:jc w:val="both"/>
      </w:pPr>
      <w:r>
        <w:t>1.</w:t>
      </w:r>
      <w:r>
        <w:tab/>
        <w:t>Améliorer la productivité du secteur de l'élevage dans les zones de résilience prioritaires</w:t>
      </w:r>
    </w:p>
    <w:p w14:paraId="6223FED0" w14:textId="77777777" w:rsidR="00C133BC" w:rsidRDefault="00442C7E">
      <w:pPr>
        <w:jc w:val="both"/>
      </w:pPr>
      <w:r>
        <w:t>2.</w:t>
      </w:r>
      <w:r>
        <w:tab/>
        <w:t>Améliorer l'accessibilité des intrants et des services dans le système de marché du bétail</w:t>
      </w:r>
    </w:p>
    <w:p w14:paraId="6223FED1" w14:textId="77777777" w:rsidR="00C133BC" w:rsidRDefault="00442C7E">
      <w:pPr>
        <w:jc w:val="both"/>
      </w:pPr>
      <w:r>
        <w:t>3.</w:t>
      </w:r>
      <w:r>
        <w:tab/>
        <w:t xml:space="preserve"> Améliorer le marketing et l'engagement du secteur privé dans le secteur</w:t>
      </w:r>
    </w:p>
    <w:p w14:paraId="6223FED2" w14:textId="77777777" w:rsidR="00C133BC" w:rsidRDefault="00442C7E">
      <w:pPr>
        <w:jc w:val="both"/>
      </w:pPr>
      <w:r>
        <w:t xml:space="preserve">PARE intervient dans 34 communes réparties sur quatre départements (Nord, Nord-Est, Centre et Sud). Ces quatre départements sont regroupés en deux zones de résilience : la zone de résilience Nord (RFZ Nord) qui comprend 23 communes des départements du Nord, Nord-Est et du Centre et la zone résilience du Sud (RFZ Sud) qui comprend 11 communes de la côte Sud.  PARE travaillera sur quatre filières d’élevage : les bovins, les caprins, les ovins et les poules (Poulet de Chair, Pondeuses et Poulets de basse-cour). </w:t>
      </w:r>
    </w:p>
    <w:p w14:paraId="6223FED3" w14:textId="5F7BE042" w:rsidR="00C133BC" w:rsidRDefault="00442C7E">
      <w:pPr>
        <w:jc w:val="both"/>
        <w:rPr>
          <w:b/>
        </w:rPr>
      </w:pPr>
      <w:bookmarkStart w:id="2" w:name="_heading=h.1fob9te" w:colFirst="0" w:colLast="0"/>
      <w:bookmarkEnd w:id="2"/>
      <w:r>
        <w:t xml:space="preserve">PARE utilise une nouvelle approche de développement basée sur le Développement des Systèmes de Marché (MSD en anglais) en vue de redynamiser le système d’élevage. Un fonds de stimulation du marché (MIF en anglais) sera utilisé comme outil flexible pour réduire les risques et catalyser la croissance du secteur de l’élevage de manière durable. Grâce à des liens commerciaux et </w:t>
      </w:r>
      <w:proofErr w:type="gramStart"/>
      <w:r>
        <w:t>un partenariat renforcé</w:t>
      </w:r>
      <w:r w:rsidR="00B861E7">
        <w:t>s</w:t>
      </w:r>
      <w:proofErr w:type="gramEnd"/>
      <w:r>
        <w:t xml:space="preserve"> entre les acteurs du marché ainsi qu’une assistance technique pour promouvoir la production et la productivité de l‘élevage au niveau des producteurs, une augmentation de la productivité et des ventes permettra d’améliorer la résilience du système de marché de l’élevage en établissant une culture d’agilité et d’apprentissage qui permet aux acteurs de prendre des décisions fondées sur des données probantes.</w:t>
      </w:r>
      <w:r w:rsidR="003F5873">
        <w:pict w14:anchorId="6223FF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4" o:spid="_x0000_s1026" type="#_x0000_t75" style="position:absolute;left:0;text-align:left;margin-left:106.3pt;margin-top:6.3pt;width:1.45pt;height:1.45pt;z-index:251660288;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jqotoAQAAAwMAAA4AAABkcnMvZTJvRG9jLnhtbJxSy27CMBC8V+o/&#10;WL4XJ7RCbUTCoagShz4O7QcYxyZWY2+0dgj8fTcECrSqKnGx9qGdndnxdLZxNVtrDBZ8ztNRwpn2&#10;CkrrVzn/eH+6uecsROlLWYPXOd/qwGfF9dW0azI9hgrqUiMjEB+yrsl5FWOTCRFUpZ0MI2i0p6YB&#10;dDJSiitRouwI3dVinCQT0QGWDYLSIVB1PjR5scM3Rqv4akzQkdU5f0gSohcPAR6C5T4QxVRmK5RN&#10;ZdWekryAkZPWE4FvqLmMkrVof0E5qxACmDhS4AQYY5Xe6SFlafJD2cJ/9qrSO9VipsBH7eObxHi4&#10;3a5xyQpXc7bsnqEkd2Qbge8R6Tz/mzGQnoNqHfEZHEFdy0jfIVS2CZxhZsuc46JMj/z9+vGo4A2P&#10;ul7OG+SI2Ev+a2Rj0PXHJiZsk3MyeNu/Oy/1JjJFxdsJlRXV++AEc5g9bDg5Kq09s+807ymd/N3i&#10;CwAA//8DAFBLAwQUAAYACAAAACEAdthan9YBAACbBAAAEAAAAGRycy9pbmsvaW5rMS54bWy0k1Fv&#10;mzAQx98n7TtY7sNeBhgHQopK+lAt0qRNqtZO2h4puMEqtiNjQvLtdxjHoWr6Mm1CQviM/3f3u79v&#10;bg+iRXumO65kgeOQYMRkpWoutwX++bgJVhh1ppR12SrJCnxkHb5df/xww+WLaHN4I1CQ3fgl2gI3&#10;xuzyKBqGIRwWodLbiBKyiL7Kl+/f8Nqdqtkzl9xAyu4UqpQ07GBGsZzXBa7Mgfj/QftB9bpifnuM&#10;6Or8h9FlxTZKi9J4xaaUkrVIlgLq/oWROe7gg0OeLdMYCQ4NBzSMkyxZfbmGQHko8GzdQ4kdVCJw&#10;dFnz93/Q3LzVHMta0GyZYeRKqtl+rCmyzPP3e7/Xase04eyMeYLiNo6omtaWzwRKs061/TgbjPZl&#10;2wOymBCwhcsdRxeAvNUDNv9UD7i8qzcv7jUa196cg4PmLXUareGCgdHFznvMdCA8hh+MtteBEpoE&#10;hAYxfaQ0T9M8TsJsSWajcC4+aT7pvmu83pM++9XueGpTZwOvTeOhk5CkHvoc+aWjDePbxvzd2Uq1&#10;Cq6Dm/XVcnl3B+M+28vm82a7cHWt/5Br/Qd7LvCVvb3InpwCtneCCKJJmqWfPxF4glV8Hb8ysc8C&#10;01n/AQAA//8DAFBLAwQUAAYACAAAACEArPmUiN0AAAAJAQAADwAAAGRycy9kb3ducmV2LnhtbEyP&#10;QU/DMAyF70j7D5EncUEsbaVNU2k6IQScAGkbF25Z4yYVjVM12Vb49Xgndnqy39Pz52oz+V6ccIxd&#10;IAX5IgOB1ATTkVXwuX+5X4OISZPRfSBU8IMRNvXsptKlCWfa4mmXrOASiqVW4FIaSilj49DruAgD&#10;EnttGL1OPI5WmlGfudz3ssiylfS6I77g9IBPDpvv3dEr+N1a9/Fls/b5VU6mfbsz4R2NUrfz6fEB&#10;RMIp/Yfhgs/oUDPTIRzJRNErKPJixVE2LsqBIl8uQRx4wSrrSl5/UP8BAAD//wMAUEsDBBQABgAI&#10;AAAAIQB5GLydvwAAACEBAAAZAAAAZHJzL19yZWxzL2Uyb0RvYy54bWwucmVsc4TPsWrEMAwG4L3Q&#10;dzDaGyUdylHiZDkOspYUbjWOkpjEsrGc0nv7euzBwQ0ahND3S23/63f1Q0lcYA1NVYMitmFyvGj4&#10;Hi9vJ1CSDU9mD0wabiTQd68v7RftJpclWV0UVRQWDWvO8RNR7EreSBUicZnMIXmTS5sWjMZuZiF8&#10;r+sPTP8N6O5MNUwa0jA1oMZbLMnP7TDPztI52MMT5wcRaA/JwV/9XlCTFsoaHG9YqqnKoYBdi3eP&#10;dX8AAAD//wMAUEsBAi0AFAAGAAgAAAAhAJszJzcMAQAALQIAABMAAAAAAAAAAAAAAAAAAAAAAFtD&#10;b250ZW50X1R5cGVzXS54bWxQSwECLQAUAAYACAAAACEAOP0h/9YAAACUAQAACwAAAAAAAAAAAAAA&#10;AAA9AQAAX3JlbHMvLnJlbHNQSwECLQAUAAYACAAAACEA9KOqi2gBAAADAwAADgAAAAAAAAAAAAAA&#10;AAA8AgAAZHJzL2Uyb0RvYy54bWxQSwECLQAUAAYACAAAACEAdthan9YBAACbBAAAEAAAAAAAAAAA&#10;AAAAAADQAwAAZHJzL2luay9pbmsxLnhtbFBLAQItABQABgAIAAAAIQCs+ZSI3QAAAAkBAAAPAAAA&#10;AAAAAAAAAAAAANQFAABkcnMvZG93bnJldi54bWxQSwECLQAUAAYACAAAACEAeRi8nb8AAAAhAQAA&#10;GQAAAAAAAAAAAAAAAADeBgAAZHJzL19yZWxzL2Uyb0RvYy54bWwucmVsc1BLBQYAAAAABgAGAHgB&#10;AADUBwAAAAA=&#10;">
            <v:imagedata r:id="rId8" o:title=""/>
            <w10:wrap anchorx="margin"/>
          </v:shape>
        </w:pict>
      </w:r>
    </w:p>
    <w:p w14:paraId="6223FED4" w14:textId="65AFAFA1" w:rsidR="00C133BC" w:rsidRDefault="00442C7E">
      <w:pPr>
        <w:jc w:val="both"/>
      </w:pPr>
      <w:r>
        <w:t>L’étude de la ligne de base</w:t>
      </w:r>
      <w:r>
        <w:rPr>
          <w:vertAlign w:val="superscript"/>
        </w:rPr>
        <w:footnoteReference w:id="1"/>
      </w:r>
      <w:r>
        <w:t xml:space="preserve"> de PARE a révélé que seulement 32 % des éleveurs a accès à du fourrage tout au long de l’année. En effet, il n’y a pas un système approprié de production commerciale de fourrage pratiqué en Haïti bien que certains agriculteurs, parfois des éleveurs de quelques endroits </w:t>
      </w:r>
      <w:r w:rsidR="001C5771">
        <w:t>du Sud, produisent</w:t>
      </w:r>
      <w:r w:rsidR="009059A9">
        <w:t xml:space="preserve"> </w:t>
      </w:r>
      <w:r w:rsidR="001C5771">
        <w:t xml:space="preserve">surtout </w:t>
      </w:r>
      <w:r>
        <w:t>de l’herbe éléphant, peu souvent commercialisée de manière appropriée. Pourtant, depuis</w:t>
      </w:r>
      <w:r w:rsidR="001C5771">
        <w:t xml:space="preserve"> quelque</w:t>
      </w:r>
      <w:r w:rsidR="00A82BD8">
        <w:t xml:space="preserve"> temps</w:t>
      </w:r>
      <w:r>
        <w:t xml:space="preserve">, le pays fait face annuellement à des épisodes de sècheresse affectant la disponibilité fourragère et créant ainsi des chocs et stresses alimentaires chez les herbivores domestiques et affectant la productivité du bétail (notamment des vaches). Dans les situations de </w:t>
      </w:r>
      <w:r>
        <w:lastRenderedPageBreak/>
        <w:t xml:space="preserve">pénurie, les animaux sont souvent laissés en liberté, s’attaquant ainsi aux plantations des autres agriculteurs et créant ainsi des situations conflictuelles qui épuisent l’harmonie nécessaire a de bonnes pratiques d’élevage. </w:t>
      </w:r>
    </w:p>
    <w:p w14:paraId="6223FED5" w14:textId="77777777" w:rsidR="00C133BC" w:rsidRDefault="00442C7E">
      <w:pPr>
        <w:jc w:val="both"/>
      </w:pPr>
      <w:r>
        <w:t xml:space="preserve">C’est en ce sens, que PARE planifie de réaliser à travers cette étude un inventaire des variétés de fourrages disponibles et en exploitation dans son aire d’intervention, qui par la suite donnera lieu à une étude bromatologique des espèces fourragères.  Cette étude vise aussi à dégager des informations techniques et commerciales exploitables pouvant et devant inciter les acteurs du marché de l’élevage à investir dans la production et la commercialisation de fourrage au niveau local. Il s’agit aussi d’aider les petits éleveurs à avoir accès à des fourrages adaptés aux conditions agro-climatiques, productifs et en quantité suffisante. Ces espèces et variétés doivent pouvoir être disponibles, en particulier pendant les périodes de sècheresse où la pénurie est accrue et où les taux de mortalité des animaux sont les plus élevés. </w:t>
      </w:r>
    </w:p>
    <w:p w14:paraId="6223FED6" w14:textId="247B4962" w:rsidR="00C133BC" w:rsidRDefault="00442C7E">
      <w:pPr>
        <w:jc w:val="both"/>
      </w:pPr>
      <w:r>
        <w:t>Pour réaliser ce travail technique et scientifique, PARE prévoit de collaborer avec SIPA (Système d’Innovation en Production Animale) et CEMARCH</w:t>
      </w:r>
      <w:r w:rsidR="00F71FE7">
        <w:t xml:space="preserve"> </w:t>
      </w:r>
      <w:r w:rsidR="006347C1">
        <w:t>(</w:t>
      </w:r>
      <w:r w:rsidR="006347C1" w:rsidRPr="006347C1">
        <w:rPr>
          <w:rStyle w:val="cf01"/>
          <w:rFonts w:ascii="Gill Sans MT" w:hAnsi="Gill Sans MT"/>
          <w:sz w:val="22"/>
          <w:szCs w:val="22"/>
        </w:rPr>
        <w:t>Centre</w:t>
      </w:r>
      <w:r w:rsidR="006347C1">
        <w:rPr>
          <w:rStyle w:val="cf01"/>
          <w:rFonts w:ascii="Gill Sans MT" w:hAnsi="Gill Sans MT"/>
          <w:sz w:val="22"/>
          <w:szCs w:val="22"/>
        </w:rPr>
        <w:t xml:space="preserve"> </w:t>
      </w:r>
      <w:r w:rsidR="006347C1" w:rsidRPr="006347C1">
        <w:rPr>
          <w:rStyle w:val="cf01"/>
          <w:rFonts w:ascii="Gill Sans MT" w:hAnsi="Gill Sans MT"/>
          <w:sz w:val="22"/>
          <w:szCs w:val="22"/>
        </w:rPr>
        <w:t>d’atténuation, d’adaptation et de résilience au changement</w:t>
      </w:r>
      <w:r w:rsidR="006347C1">
        <w:rPr>
          <w:rStyle w:val="cf01"/>
          <w:rFonts w:ascii="Gill Sans MT" w:hAnsi="Gill Sans MT"/>
          <w:sz w:val="22"/>
          <w:szCs w:val="22"/>
        </w:rPr>
        <w:t xml:space="preserve"> </w:t>
      </w:r>
      <w:r w:rsidR="006347C1" w:rsidRPr="006347C1">
        <w:rPr>
          <w:rStyle w:val="cf01"/>
          <w:rFonts w:ascii="Gill Sans MT" w:hAnsi="Gill Sans MT"/>
          <w:sz w:val="22"/>
          <w:szCs w:val="22"/>
        </w:rPr>
        <w:t xml:space="preserve">climatique en </w:t>
      </w:r>
      <w:proofErr w:type="gramStart"/>
      <w:r w:rsidR="006347C1" w:rsidRPr="006347C1">
        <w:rPr>
          <w:rStyle w:val="cf01"/>
          <w:rFonts w:ascii="Gill Sans MT" w:hAnsi="Gill Sans MT"/>
          <w:sz w:val="22"/>
          <w:szCs w:val="22"/>
        </w:rPr>
        <w:t>Haïti</w:t>
      </w:r>
      <w:r w:rsidR="00A82BD8">
        <w:rPr>
          <w:rStyle w:val="cf01"/>
          <w:rFonts w:ascii="Gill Sans MT" w:hAnsi="Gill Sans MT"/>
          <w:sz w:val="22"/>
          <w:szCs w:val="22"/>
        </w:rPr>
        <w:t>)</w:t>
      </w:r>
      <w:r w:rsidR="00E65261">
        <w:rPr>
          <w:rStyle w:val="cf01"/>
          <w:rFonts w:ascii="Gill Sans MT" w:hAnsi="Gill Sans MT"/>
          <w:sz w:val="22"/>
          <w:szCs w:val="22"/>
        </w:rPr>
        <w:t xml:space="preserve"> </w:t>
      </w:r>
      <w:r w:rsidR="00A82BD8">
        <w:rPr>
          <w:rStyle w:val="cf01"/>
          <w:rFonts w:ascii="Gill Sans MT" w:hAnsi="Gill Sans MT"/>
          <w:sz w:val="22"/>
          <w:szCs w:val="22"/>
        </w:rPr>
        <w:t xml:space="preserve"> </w:t>
      </w:r>
      <w:r w:rsidR="00E65261">
        <w:t>et</w:t>
      </w:r>
      <w:proofErr w:type="gramEnd"/>
      <w:r w:rsidR="00E65261">
        <w:t xml:space="preserve"> </w:t>
      </w:r>
      <w:r>
        <w:t xml:space="preserve">a déjà réalisé plusieurs rencontres et discussions avec ces deux entités, qui bénéficient de financements de l’USAID et qui partagent les mêmes zones d’intervention. Ces deux entités sont également intéressées à ces activités car leur plan d’activités prévoit de travailler sur la disponibilité du fourrage et de conduire un processus visant à identifier les meilleures espèces et variétés de fourrages disponibles et en exploitation en vue de tester leur potentiel d’adaptation et de productivité dans plusieurs zones agroécologiques, entre autres aspects. Par la suite, une fois les espèces identifiées, l’analyse bromatologique sera assurée dans le cadre d’un protocole d’accord entre SIPA, PARE et CEMARCH. </w:t>
      </w:r>
    </w:p>
    <w:p w14:paraId="6223FED7" w14:textId="4267A641" w:rsidR="00C133BC" w:rsidRDefault="00442C7E">
      <w:pPr>
        <w:jc w:val="both"/>
      </w:pPr>
      <w:r>
        <w:t>SIPA et CEMARCH sont deux projets de recherche financés par l'USAID dans le cadre de subventions (Coopérative Agreement) accordées respectivement à l'Universi</w:t>
      </w:r>
      <w:r w:rsidR="0065133F">
        <w:t>t</w:t>
      </w:r>
      <w:r>
        <w:t>é de Floride</w:t>
      </w:r>
      <w:r w:rsidR="00246C5B">
        <w:t xml:space="preserve"> (UF)</w:t>
      </w:r>
      <w:r>
        <w:t xml:space="preserve"> et à l'Université du Kansas, aux États-Unis, selon deux schémas différents :</w:t>
      </w:r>
    </w:p>
    <w:p w14:paraId="530910B4" w14:textId="13E19EED" w:rsidR="007A7C7D" w:rsidRPr="0065133F" w:rsidRDefault="007A7C7D" w:rsidP="0065133F">
      <w:pPr>
        <w:numPr>
          <w:ilvl w:val="0"/>
          <w:numId w:val="7"/>
        </w:numPr>
        <w:pBdr>
          <w:top w:val="nil"/>
          <w:left w:val="nil"/>
          <w:bottom w:val="nil"/>
          <w:right w:val="nil"/>
          <w:between w:val="nil"/>
        </w:pBdr>
        <w:spacing w:after="0"/>
        <w:ind w:left="540"/>
        <w:jc w:val="both"/>
      </w:pPr>
      <w:r w:rsidRPr="0065133F">
        <w:rPr>
          <w:lang w:val="fr-FR"/>
        </w:rPr>
        <w:t>SIPA est une collaboration entre trois universités haïtiennes (université, Notre Dame d’Haïti, Université Quisqueya et le Campus Henri Christophe de Limonade) et quatre Universités Américaines (</w:t>
      </w:r>
      <w:proofErr w:type="spellStart"/>
      <w:r w:rsidR="004A75C1" w:rsidRPr="0065133F">
        <w:rPr>
          <w:lang w:val="fr-FR"/>
        </w:rPr>
        <w:t>u</w:t>
      </w:r>
      <w:r w:rsidRPr="0065133F">
        <w:rPr>
          <w:lang w:val="fr-FR"/>
        </w:rPr>
        <w:t>niversity</w:t>
      </w:r>
      <w:proofErr w:type="spellEnd"/>
      <w:r w:rsidRPr="0065133F">
        <w:rPr>
          <w:lang w:val="fr-FR"/>
        </w:rPr>
        <w:t xml:space="preserve"> of Florida, Florida A&amp;M </w:t>
      </w:r>
      <w:proofErr w:type="spellStart"/>
      <w:r w:rsidR="004A75C1" w:rsidRPr="0065133F">
        <w:rPr>
          <w:lang w:val="fr-FR"/>
        </w:rPr>
        <w:t>u</w:t>
      </w:r>
      <w:r w:rsidRPr="0065133F">
        <w:rPr>
          <w:lang w:val="fr-FR"/>
        </w:rPr>
        <w:t>niversity</w:t>
      </w:r>
      <w:proofErr w:type="spellEnd"/>
      <w:r w:rsidRPr="0065133F">
        <w:rPr>
          <w:lang w:val="fr-FR"/>
        </w:rPr>
        <w:t xml:space="preserve">, </w:t>
      </w:r>
      <w:proofErr w:type="spellStart"/>
      <w:r w:rsidR="004A75C1" w:rsidRPr="0065133F">
        <w:rPr>
          <w:lang w:val="fr-FR"/>
        </w:rPr>
        <w:t>u</w:t>
      </w:r>
      <w:r w:rsidRPr="0065133F">
        <w:rPr>
          <w:lang w:val="fr-FR"/>
        </w:rPr>
        <w:t>niversity</w:t>
      </w:r>
      <w:proofErr w:type="spellEnd"/>
      <w:r w:rsidRPr="0065133F">
        <w:rPr>
          <w:lang w:val="fr-FR"/>
        </w:rPr>
        <w:t xml:space="preserve"> of Maryland </w:t>
      </w:r>
      <w:proofErr w:type="spellStart"/>
      <w:r w:rsidRPr="0065133F">
        <w:rPr>
          <w:lang w:val="fr-FR"/>
        </w:rPr>
        <w:t>Eastern</w:t>
      </w:r>
      <w:proofErr w:type="spellEnd"/>
      <w:r w:rsidRPr="0065133F">
        <w:rPr>
          <w:lang w:val="fr-FR"/>
        </w:rPr>
        <w:t xml:space="preserve"> Shore, and Fort Valley State </w:t>
      </w:r>
      <w:proofErr w:type="spellStart"/>
      <w:r w:rsidR="004A75C1" w:rsidRPr="0065133F">
        <w:rPr>
          <w:lang w:val="fr-FR"/>
        </w:rPr>
        <w:t>u</w:t>
      </w:r>
      <w:r w:rsidRPr="0065133F">
        <w:rPr>
          <w:lang w:val="fr-FR"/>
        </w:rPr>
        <w:t>niversity</w:t>
      </w:r>
      <w:proofErr w:type="spellEnd"/>
      <w:r w:rsidRPr="0065133F">
        <w:rPr>
          <w:lang w:val="fr-FR"/>
        </w:rPr>
        <w:t xml:space="preserve">) dont le but ultime est d’augmenter la productivité et la résilience de secteur de l’élevage en Haïti à travers de la recherche ciblée et appliquée en nutrition et génétique animale. Cette </w:t>
      </w:r>
      <w:r w:rsidR="004A75C1" w:rsidRPr="0065133F">
        <w:rPr>
          <w:lang w:val="fr-FR"/>
        </w:rPr>
        <w:t>recherche</w:t>
      </w:r>
      <w:r w:rsidRPr="0065133F">
        <w:rPr>
          <w:lang w:val="fr-FR"/>
        </w:rPr>
        <w:t xml:space="preserve"> du Programme PARE</w:t>
      </w:r>
      <w:r w:rsidR="0090349A" w:rsidRPr="0065133F">
        <w:rPr>
          <w:lang w:val="fr-FR"/>
        </w:rPr>
        <w:t>,</w:t>
      </w:r>
      <w:r w:rsidRPr="0065133F">
        <w:rPr>
          <w:lang w:val="fr-FR"/>
        </w:rPr>
        <w:t xml:space="preserve"> qui vise à</w:t>
      </w:r>
      <w:r w:rsidR="0090349A" w:rsidRPr="0065133F">
        <w:rPr>
          <w:lang w:val="fr-FR"/>
        </w:rPr>
        <w:t xml:space="preserve"> </w:t>
      </w:r>
      <w:r w:rsidRPr="0065133F">
        <w:rPr>
          <w:lang w:val="fr-FR"/>
        </w:rPr>
        <w:t xml:space="preserve">cartographier le disponible fourrager dans ses zones d’intervention est donc en parfaite adéquation avec l’objectif 2 du projet SIPA visant à améliorer les performances du bétail grâce à </w:t>
      </w:r>
      <w:r w:rsidR="0090349A" w:rsidRPr="0065133F">
        <w:rPr>
          <w:lang w:val="fr-FR"/>
        </w:rPr>
        <w:t xml:space="preserve">des </w:t>
      </w:r>
      <w:r w:rsidRPr="0065133F">
        <w:rPr>
          <w:lang w:val="fr-FR"/>
        </w:rPr>
        <w:t>interventions transformatrices en nutrition et alimentation animale avec le secteur fourrager en ligne de mire</w:t>
      </w:r>
      <w:r w:rsidR="0090349A" w:rsidRPr="0065133F">
        <w:rPr>
          <w:lang w:val="fr-FR"/>
        </w:rPr>
        <w:t>.</w:t>
      </w:r>
    </w:p>
    <w:p w14:paraId="6223FED8" w14:textId="003C70CD" w:rsidR="00C133BC" w:rsidRDefault="00C133BC" w:rsidP="0065133F">
      <w:pPr>
        <w:pBdr>
          <w:top w:val="nil"/>
          <w:left w:val="nil"/>
          <w:bottom w:val="nil"/>
          <w:right w:val="nil"/>
          <w:between w:val="nil"/>
        </w:pBdr>
        <w:spacing w:after="0"/>
        <w:jc w:val="both"/>
      </w:pPr>
    </w:p>
    <w:p w14:paraId="6223FED9" w14:textId="577F0B9D" w:rsidR="00C133BC" w:rsidRDefault="00FA1A38" w:rsidP="0065133F">
      <w:pPr>
        <w:numPr>
          <w:ilvl w:val="0"/>
          <w:numId w:val="7"/>
        </w:numPr>
        <w:pBdr>
          <w:top w:val="nil"/>
          <w:left w:val="nil"/>
          <w:bottom w:val="nil"/>
          <w:right w:val="nil"/>
          <w:between w:val="nil"/>
        </w:pBdr>
        <w:ind w:left="540"/>
        <w:jc w:val="both"/>
      </w:pPr>
      <w:r>
        <w:rPr>
          <w:color w:val="000000"/>
        </w:rPr>
        <w:t xml:space="preserve">CEMARCH </w:t>
      </w:r>
      <w:r w:rsidRPr="00254BE1">
        <w:rPr>
          <w:rStyle w:val="cf01"/>
          <w:rFonts w:ascii="Gill Sans MT" w:hAnsi="Gill Sans MT"/>
          <w:sz w:val="22"/>
          <w:szCs w:val="22"/>
        </w:rPr>
        <w:t>se focalise sur le renforcement de la capacite des universités</w:t>
      </w:r>
      <w:r w:rsidR="00913B2D">
        <w:rPr>
          <w:rStyle w:val="cf01"/>
          <w:rFonts w:ascii="Gill Sans MT" w:hAnsi="Gill Sans MT"/>
          <w:sz w:val="22"/>
          <w:szCs w:val="22"/>
        </w:rPr>
        <w:t xml:space="preserve"> </w:t>
      </w:r>
      <w:r w:rsidRPr="00254BE1">
        <w:rPr>
          <w:rStyle w:val="cf01"/>
          <w:rFonts w:ascii="Gill Sans MT" w:hAnsi="Gill Sans MT"/>
          <w:sz w:val="22"/>
          <w:szCs w:val="22"/>
        </w:rPr>
        <w:t>pour répondre aux exigences de l’économie</w:t>
      </w:r>
      <w:r w:rsidR="00913B2D">
        <w:rPr>
          <w:rStyle w:val="cf01"/>
          <w:rFonts w:ascii="Gill Sans MT" w:hAnsi="Gill Sans MT"/>
          <w:sz w:val="22"/>
          <w:szCs w:val="22"/>
        </w:rPr>
        <w:t xml:space="preserve"> </w:t>
      </w:r>
      <w:r w:rsidRPr="00254BE1">
        <w:rPr>
          <w:rStyle w:val="cf01"/>
          <w:rFonts w:ascii="Gill Sans MT" w:hAnsi="Gill Sans MT"/>
          <w:sz w:val="22"/>
          <w:szCs w:val="22"/>
        </w:rPr>
        <w:t xml:space="preserve">agricole et aux besoins de main d’œuvre et aider ces </w:t>
      </w:r>
      <w:r>
        <w:rPr>
          <w:rStyle w:val="cf01"/>
          <w:rFonts w:ascii="Gill Sans MT" w:hAnsi="Gill Sans MT"/>
          <w:sz w:val="22"/>
          <w:szCs w:val="22"/>
        </w:rPr>
        <w:t>u</w:t>
      </w:r>
      <w:r w:rsidRPr="00254BE1">
        <w:rPr>
          <w:rStyle w:val="cf01"/>
          <w:rFonts w:ascii="Gill Sans MT" w:hAnsi="Gill Sans MT"/>
          <w:sz w:val="22"/>
          <w:szCs w:val="22"/>
        </w:rPr>
        <w:t xml:space="preserve">niversités </w:t>
      </w:r>
      <w:r w:rsidR="00802939" w:rsidRPr="00254BE1">
        <w:rPr>
          <w:rStyle w:val="cf01"/>
          <w:rFonts w:ascii="Gill Sans MT" w:hAnsi="Gill Sans MT"/>
          <w:sz w:val="22"/>
          <w:szCs w:val="22"/>
        </w:rPr>
        <w:t>à</w:t>
      </w:r>
      <w:r w:rsidRPr="00254BE1">
        <w:rPr>
          <w:rStyle w:val="cf01"/>
          <w:rFonts w:ascii="Gill Sans MT" w:hAnsi="Gill Sans MT"/>
          <w:sz w:val="22"/>
          <w:szCs w:val="22"/>
        </w:rPr>
        <w:t xml:space="preserve"> développer des programmes de </w:t>
      </w:r>
      <w:r>
        <w:rPr>
          <w:rStyle w:val="cf01"/>
          <w:rFonts w:ascii="Gill Sans MT" w:hAnsi="Gill Sans MT"/>
          <w:sz w:val="22"/>
          <w:szCs w:val="22"/>
        </w:rPr>
        <w:t>r</w:t>
      </w:r>
      <w:r w:rsidRPr="00254BE1">
        <w:rPr>
          <w:rStyle w:val="cf01"/>
          <w:rFonts w:ascii="Gill Sans MT" w:hAnsi="Gill Sans MT"/>
          <w:sz w:val="22"/>
          <w:szCs w:val="22"/>
        </w:rPr>
        <w:t>echerches et d'extension</w:t>
      </w:r>
      <w:r w:rsidR="00913B2D">
        <w:rPr>
          <w:rStyle w:val="cf01"/>
          <w:rFonts w:ascii="Gill Sans MT" w:hAnsi="Gill Sans MT"/>
          <w:sz w:val="22"/>
          <w:szCs w:val="22"/>
        </w:rPr>
        <w:t xml:space="preserve">. </w:t>
      </w:r>
    </w:p>
    <w:p w14:paraId="6223FEDA" w14:textId="77777777" w:rsidR="00C133BC" w:rsidRDefault="00442C7E">
      <w:pPr>
        <w:jc w:val="both"/>
      </w:pPr>
      <w:r>
        <w:t xml:space="preserve">En plus de dégager des informations techniques et commerciales exploitables pour inciter les acteurs du marché de l’élevage à investir dans la production, le conditionnement et la commercialisation de fourrage au niveau local et d’aider les petits éleveurs à avoir accès à des fourrages productifs, adaptés aux conditions agro-climatiques environnantes et en quantité suffisante. La réalisation conjointe de ce travail devra aussi permettre à SIPA et CEMARCH de mettre en place une base de données sur les variétés et espèces fourragères adaptées aux conditions agroécologiques et en utilisation tout au moins dans les zones de résilience de l’USAID. Cette étude prendra ainsi en compte les efforts du </w:t>
      </w:r>
      <w:r>
        <w:lastRenderedPageBreak/>
        <w:t xml:space="preserve">MARNDR en matière de production de fourrage, ainsi que des investissements de l'USAID, dont ceux du Projet de Reboisement et des pratiques appropriées recommandées par Land O'Lakes et/ou son partenaire Heifer. </w:t>
      </w:r>
    </w:p>
    <w:p w14:paraId="6223FEDB" w14:textId="77777777" w:rsidR="00C133BC" w:rsidRDefault="00442C7E">
      <w:pPr>
        <w:pStyle w:val="Heading1"/>
        <w:numPr>
          <w:ilvl w:val="0"/>
          <w:numId w:val="5"/>
        </w:numPr>
      </w:pPr>
      <w:bookmarkStart w:id="3" w:name="_heading=h.3znysh7" w:colFirst="0" w:colLast="0"/>
      <w:bookmarkEnd w:id="3"/>
      <w:r>
        <w:t>Objectifs de la Consultation</w:t>
      </w:r>
    </w:p>
    <w:p w14:paraId="6223FEDC" w14:textId="77777777" w:rsidR="00C133BC" w:rsidRDefault="00442C7E">
      <w:pPr>
        <w:pStyle w:val="Heading2"/>
        <w:numPr>
          <w:ilvl w:val="1"/>
          <w:numId w:val="5"/>
        </w:numPr>
        <w:jc w:val="both"/>
        <w:rPr>
          <w:b/>
        </w:rPr>
      </w:pPr>
      <w:bookmarkStart w:id="4" w:name="_heading=h.2et92p0" w:colFirst="0" w:colLast="0"/>
      <w:bookmarkEnd w:id="4"/>
      <w:r>
        <w:rPr>
          <w:b/>
        </w:rPr>
        <w:t>Objectif général</w:t>
      </w:r>
      <w:r>
        <w:t xml:space="preserve"> </w:t>
      </w:r>
    </w:p>
    <w:p w14:paraId="6223FEDD" w14:textId="77777777" w:rsidR="00C133BC" w:rsidRDefault="00442C7E">
      <w:pPr>
        <w:rPr>
          <w:b/>
        </w:rPr>
      </w:pPr>
      <w:r>
        <w:t xml:space="preserve">L’objectif général de cette consultation est d’identifier les variétés et espèces de fourrages en exploitation en Haïti et leur adaptation aux différentes aires agroécologiques de la zone d’intervention de PARE pour apporter une assistance aux acteurs du secteur d’élevage à les mettre en production et développer un modèle commercial accessible aux éleveurs pour supporter durablement l’amélioration de la productivité des animaux élevés. </w:t>
      </w:r>
    </w:p>
    <w:p w14:paraId="6223FEDE" w14:textId="77777777" w:rsidR="00C133BC" w:rsidRDefault="00442C7E">
      <w:pPr>
        <w:jc w:val="both"/>
        <w:rPr>
          <w:b/>
        </w:rPr>
      </w:pPr>
      <w:r>
        <w:rPr>
          <w:b/>
        </w:rPr>
        <w:t>De manière plus spécifique, cette étude vise à :</w:t>
      </w:r>
    </w:p>
    <w:p w14:paraId="6223FEDF" w14:textId="77777777" w:rsidR="00C133BC" w:rsidRDefault="00442C7E">
      <w:pPr>
        <w:pStyle w:val="Heading2"/>
        <w:numPr>
          <w:ilvl w:val="1"/>
          <w:numId w:val="5"/>
        </w:numPr>
        <w:rPr>
          <w:b/>
        </w:rPr>
      </w:pPr>
      <w:bookmarkStart w:id="5" w:name="_heading=h.tyjcwt" w:colFirst="0" w:colLast="0"/>
      <w:bookmarkEnd w:id="5"/>
      <w:r>
        <w:rPr>
          <w:b/>
        </w:rPr>
        <w:t xml:space="preserve">Cartographier la disponibilité </w:t>
      </w:r>
    </w:p>
    <w:bookmarkStart w:id="6" w:name="_heading=h.3dy6vkm" w:colFirst="0" w:colLast="0"/>
    <w:bookmarkEnd w:id="6"/>
    <w:p w14:paraId="6223FEE0" w14:textId="77777777" w:rsidR="00C133BC" w:rsidRDefault="003F5873">
      <w:sdt>
        <w:sdtPr>
          <w:tag w:val="goog_rdk_9"/>
          <w:id w:val="388999525"/>
        </w:sdtPr>
        <w:sdtEndPr/>
        <w:sdtContent/>
      </w:sdt>
      <w:r w:rsidR="00442C7E">
        <w:t>Il s’agit d’inventorier et de cartographier les espèces et variétés de fourrages dans la zone d’intervention de PARE</w:t>
      </w:r>
    </w:p>
    <w:p w14:paraId="6223FEE1" w14:textId="77777777" w:rsidR="00C133BC" w:rsidRDefault="00442C7E">
      <w:pPr>
        <w:pStyle w:val="Heading2"/>
        <w:numPr>
          <w:ilvl w:val="1"/>
          <w:numId w:val="5"/>
        </w:numPr>
        <w:rPr>
          <w:b/>
        </w:rPr>
      </w:pPr>
      <w:r>
        <w:rPr>
          <w:b/>
        </w:rPr>
        <w:t>Evaluer</w:t>
      </w:r>
      <w:r>
        <w:t xml:space="preserve"> </w:t>
      </w:r>
      <w:r>
        <w:rPr>
          <w:b/>
        </w:rPr>
        <w:t>l’adéquation des espèces fourragères résistantes au climat</w:t>
      </w:r>
    </w:p>
    <w:p w14:paraId="6223FEE2" w14:textId="6A1E3F15" w:rsidR="00C133BC" w:rsidRDefault="00442C7E">
      <w:pPr>
        <w:jc w:val="both"/>
      </w:pPr>
      <w:bookmarkStart w:id="7" w:name="_heading=h.1t3h5sf" w:colFirst="0" w:colLast="0"/>
      <w:bookmarkEnd w:id="7"/>
      <w:r>
        <w:t xml:space="preserve">Evaluer le </w:t>
      </w:r>
      <w:sdt>
        <w:sdtPr>
          <w:tag w:val="goog_rdk_10"/>
          <w:id w:val="-627858000"/>
        </w:sdtPr>
        <w:sdtEndPr/>
        <w:sdtContent/>
      </w:sdt>
      <w:r>
        <w:t xml:space="preserve">potentiel d’adéquation des espèces et variétés de fourrages identifiées </w:t>
      </w:r>
      <w:r w:rsidR="00F914F9">
        <w:t xml:space="preserve">dans la zone </w:t>
      </w:r>
      <w:r w:rsidR="007E5895">
        <w:t xml:space="preserve">d’intervention de PARE </w:t>
      </w:r>
      <w:r>
        <w:t>aux conditions climatiques existantes d</w:t>
      </w:r>
      <w:r w:rsidR="00C7511C">
        <w:t xml:space="preserve">e cette même zone. </w:t>
      </w:r>
    </w:p>
    <w:p w14:paraId="6223FEE3" w14:textId="77777777" w:rsidR="00C133BC" w:rsidRDefault="00442C7E">
      <w:pPr>
        <w:pStyle w:val="Heading2"/>
        <w:numPr>
          <w:ilvl w:val="1"/>
          <w:numId w:val="5"/>
        </w:numPr>
        <w:rPr>
          <w:b/>
        </w:rPr>
      </w:pPr>
      <w:r>
        <w:rPr>
          <w:b/>
        </w:rPr>
        <w:t>Identifier les besoins et potentiels des éleveurs au regard de la disponibilité dans l’</w:t>
      </w:r>
      <w:r>
        <w:t>a</w:t>
      </w:r>
      <w:r>
        <w:rPr>
          <w:b/>
        </w:rPr>
        <w:t>ire d’intervention de PARE</w:t>
      </w:r>
    </w:p>
    <w:p w14:paraId="6223FEE4" w14:textId="77777777" w:rsidR="00C133BC" w:rsidRDefault="00442C7E">
      <w:r>
        <w:t>L’objectif 2.4 vise à analyser et comprendre les besoins et les potentiels des éleveurs en relation avec la disponibilité des ressources dans la zone d’intervention de PARE.</w:t>
      </w:r>
    </w:p>
    <w:p w14:paraId="6223FEE5" w14:textId="77777777" w:rsidR="00C133BC" w:rsidRDefault="00442C7E">
      <w:pPr>
        <w:pStyle w:val="Heading1"/>
        <w:numPr>
          <w:ilvl w:val="0"/>
          <w:numId w:val="5"/>
        </w:numPr>
      </w:pPr>
      <w:r>
        <w:t>Partie de la Démarche /méthodologie</w:t>
      </w:r>
    </w:p>
    <w:p w14:paraId="6223FEE6" w14:textId="77777777" w:rsidR="00C133BC" w:rsidRDefault="00442C7E">
      <w:r>
        <w:t>Dans son offre à PARE, le consultant inclura une méthodologie détaillée. Celle-ci sera examinée en profondeur avec le consultant sélectionné pour mener à bien l'étude. Les composantes de cette démarche incluront les éléments énumérés ci-dessous, tout en n'étant pas limitées à ceux-ci.</w:t>
      </w:r>
    </w:p>
    <w:p w14:paraId="6223FEE7" w14:textId="77777777" w:rsidR="00C133BC" w:rsidRPr="00415FAB" w:rsidRDefault="00442C7E">
      <w:pPr>
        <w:pStyle w:val="Heading2"/>
        <w:numPr>
          <w:ilvl w:val="1"/>
          <w:numId w:val="5"/>
        </w:numPr>
        <w:rPr>
          <w:b/>
          <w:bCs/>
        </w:rPr>
      </w:pPr>
      <w:bookmarkStart w:id="8" w:name="_heading=h.4d34og8" w:colFirst="0" w:colLast="0"/>
      <w:bookmarkEnd w:id="8"/>
      <w:r w:rsidRPr="00415FAB">
        <w:rPr>
          <w:b/>
          <w:bCs/>
        </w:rPr>
        <w:t>Collaborer avec des acteurs clés</w:t>
      </w:r>
    </w:p>
    <w:p w14:paraId="6223FEE8" w14:textId="77777777" w:rsidR="00C133BC" w:rsidRDefault="00442C7E">
      <w:bookmarkStart w:id="9" w:name="_heading=h.2s8eyo1" w:colFirst="0" w:colLast="0"/>
      <w:bookmarkEnd w:id="9"/>
      <w:r>
        <w:t>Dans cette activité, PARE travaillera en étroite collaboration avec des acteurs clés, notamment les autorités gouvernementales compétentes telles que les DDA (Directions Départementales Agricoles) relevant du MARNDR (</w:t>
      </w:r>
      <w:proofErr w:type="gramStart"/>
      <w:r>
        <w:t>Ministère de l'Agriculture</w:t>
      </w:r>
      <w:proofErr w:type="gramEnd"/>
      <w:r>
        <w:t>, des Ressources Naturelles et du Développement Rural), ainsi qu'avec d'autres programmes financés par l'USAID tels que SIPA, PPR-N, CEMARCH, etc.</w:t>
      </w:r>
    </w:p>
    <w:p w14:paraId="6223FEE9" w14:textId="77777777" w:rsidR="00C133BC" w:rsidRPr="00415FAB" w:rsidRDefault="00442C7E">
      <w:pPr>
        <w:pStyle w:val="Heading2"/>
        <w:numPr>
          <w:ilvl w:val="1"/>
          <w:numId w:val="5"/>
        </w:numPr>
        <w:rPr>
          <w:b/>
          <w:bCs/>
        </w:rPr>
      </w:pPr>
      <w:r w:rsidRPr="00415FAB">
        <w:rPr>
          <w:b/>
          <w:bCs/>
        </w:rPr>
        <w:t>Réviser la bibliographie existante</w:t>
      </w:r>
    </w:p>
    <w:p w14:paraId="6223FEEA" w14:textId="77777777" w:rsidR="00C133BC" w:rsidRDefault="00442C7E">
      <w:pPr>
        <w:jc w:val="both"/>
      </w:pPr>
      <w:r>
        <w:t>La collaboration avec les acteurs clés permettra d’avoir accès à des documents peu connus du grand public. Plusieurs études réalisées par les projets antérieurs ne sont pas toujours disponibles dans la littérature scientifique, il convient dans le cadre de cette étude de les retrouver grâce à la collaboration avec les acteurs clés dans la mesure du possible.</w:t>
      </w:r>
    </w:p>
    <w:p w14:paraId="6223FEEB" w14:textId="77777777" w:rsidR="00C133BC" w:rsidRDefault="00442C7E">
      <w:pPr>
        <w:jc w:val="both"/>
      </w:pPr>
      <w:r>
        <w:t>Les études scientifiques réalisées dans la Caraïbe sur les fourrages seront aussi considérées. Il s’agira de relever les variétés qui ont été améliorées dans le cadre d’essais en station et chez les éleveurs et ayant un potentiel d’adaptation aux conditions climatiques d’Haïti. Ces espèces seront répertoriées avec des recommandations pour la conduite d’essais en Haïti avec les acteurs clés collaborant dans cette étude.</w:t>
      </w:r>
    </w:p>
    <w:p w14:paraId="6223FEEC" w14:textId="77777777" w:rsidR="00C133BC" w:rsidRDefault="00442C7E">
      <w:pPr>
        <w:jc w:val="both"/>
        <w:rPr>
          <w:b/>
        </w:rPr>
      </w:pPr>
      <w:r>
        <w:lastRenderedPageBreak/>
        <w:t>Les données concernant les valeurs nutritives, les adaptations au climat seront prélevées dans la littérature existante et confrontées avec les connaissances des éleveurs sur les particularités des différentes variétés identifiées sur le terrain.</w:t>
      </w:r>
    </w:p>
    <w:p w14:paraId="6223FEED" w14:textId="77777777" w:rsidR="00C133BC" w:rsidRPr="00415FAB" w:rsidRDefault="00442C7E">
      <w:pPr>
        <w:pStyle w:val="Heading2"/>
        <w:numPr>
          <w:ilvl w:val="1"/>
          <w:numId w:val="5"/>
        </w:numPr>
        <w:rPr>
          <w:b/>
          <w:bCs/>
        </w:rPr>
      </w:pPr>
      <w:bookmarkStart w:id="10" w:name="_heading=h.17dp8vu" w:colFirst="0" w:colLast="0"/>
      <w:bookmarkEnd w:id="10"/>
      <w:r w:rsidRPr="00415FAB">
        <w:rPr>
          <w:b/>
          <w:bCs/>
        </w:rPr>
        <w:t>Identifier les zones agroécologiques des communes couvertes par PARE</w:t>
      </w:r>
    </w:p>
    <w:p w14:paraId="6223FEEE" w14:textId="77777777" w:rsidR="00C133BC" w:rsidRDefault="00442C7E">
      <w:pPr>
        <w:jc w:val="both"/>
      </w:pPr>
      <w:r>
        <w:t>Il s’agira de faire une étude approfondie des zones agroécologiques ciblées. Cela impliquera l'identification de ces zones en fonction de leurs caractéristiques climatiques, types de sols et biodiversité. Des données climatiques historiques et actuelles seront collectées pour chaque zone afin de mieux comprendre leur environnement. Les zones agroécologiques auxquelles appartiennent les 34 communes couvertes par le programme PARE seront définies.</w:t>
      </w:r>
    </w:p>
    <w:p w14:paraId="6223FEEF" w14:textId="77777777" w:rsidR="00C133BC" w:rsidRDefault="00442C7E">
      <w:pPr>
        <w:pStyle w:val="Heading2"/>
        <w:numPr>
          <w:ilvl w:val="1"/>
          <w:numId w:val="5"/>
        </w:numPr>
        <w:rPr>
          <w:b/>
        </w:rPr>
      </w:pPr>
      <w:bookmarkStart w:id="11" w:name="_heading=h.3rdcrjn" w:colFirst="0" w:colLast="0"/>
      <w:bookmarkEnd w:id="11"/>
      <w:r>
        <w:rPr>
          <w:b/>
        </w:rPr>
        <w:t>Mener des observations de terrain</w:t>
      </w:r>
    </w:p>
    <w:p w14:paraId="6223FEF0" w14:textId="1F817CC3" w:rsidR="00C133BC" w:rsidRDefault="00442C7E">
      <w:pPr>
        <w:jc w:val="both"/>
      </w:pPr>
      <w:r>
        <w:t xml:space="preserve">Des visites sur le terrain dans les différentes zones agroécologiques/climatiques identifiées permettront d’observer les conditions de culture et l'utilisation des fourrages. De plus, des informations essentielles sur les pratiques de culture de fourrage, les préférences et les défis rencontrés seront collectées à travers des entretiens avec les agriculteurs et les éleveurs locaux. Une grille de collecte d’informations sera ainsi élaborée par le consultant et validée par PARE à cette fin. </w:t>
      </w:r>
      <w:sdt>
        <w:sdtPr>
          <w:tag w:val="goog_rdk_11"/>
          <w:id w:val="-908463326"/>
        </w:sdtPr>
        <w:sdtEndPr/>
        <w:sdtContent/>
      </w:sdt>
      <w:r>
        <w:t xml:space="preserve">Le nombre de zones agroécologiques est estimée à 8 grandes zones et l’estimation totale du nombre de jour de terrain dans la zone agroécologique est de 16 jours. </w:t>
      </w:r>
    </w:p>
    <w:p w14:paraId="6223FEF1" w14:textId="77777777" w:rsidR="00C133BC" w:rsidRDefault="00442C7E">
      <w:pPr>
        <w:pStyle w:val="Heading1"/>
        <w:numPr>
          <w:ilvl w:val="0"/>
          <w:numId w:val="5"/>
        </w:numPr>
      </w:pPr>
      <w:bookmarkStart w:id="12" w:name="_heading=h.26in1rg" w:colFirst="0" w:colLast="0"/>
      <w:bookmarkEnd w:id="12"/>
      <w:r>
        <w:t>Livrables Attendus du consultant</w:t>
      </w:r>
    </w:p>
    <w:p w14:paraId="0D4B6F14" w14:textId="77777777" w:rsidR="00D152E8" w:rsidRDefault="00D152E8" w:rsidP="00D152E8">
      <w:pPr>
        <w:jc w:val="both"/>
      </w:pPr>
      <w:r w:rsidRPr="00D152E8">
        <w:rPr>
          <w:b/>
          <w:bCs/>
          <w:u w:val="single"/>
        </w:rPr>
        <w:t>Cette consultation sera attribuée sur la base d'un contrat à prix fixe.</w:t>
      </w:r>
      <w:r w:rsidRPr="006E25CB">
        <w:t xml:space="preserve"> Les </w:t>
      </w:r>
      <w:r>
        <w:t>durées</w:t>
      </w:r>
      <w:r w:rsidRPr="006E25CB">
        <w:t xml:space="preserve"> </w:t>
      </w:r>
      <w:r>
        <w:t xml:space="preserve">indiquées </w:t>
      </w:r>
      <w:r w:rsidRPr="006E25CB">
        <w:t>ci-dessous</w:t>
      </w:r>
      <w:r>
        <w:t xml:space="preserve">, </w:t>
      </w:r>
      <w:proofErr w:type="spellStart"/>
      <w:r>
        <w:t>a</w:t>
      </w:r>
      <w:proofErr w:type="spellEnd"/>
      <w:r>
        <w:t xml:space="preserve"> titre indicatif,</w:t>
      </w:r>
      <w:r w:rsidRPr="006E25CB">
        <w:t xml:space="preserve"> ont pour but d'aider le consultant à mobiliser les ressources.</w:t>
      </w:r>
      <w:r>
        <w:t xml:space="preserve"> </w:t>
      </w:r>
    </w:p>
    <w:p w14:paraId="6223FEF2" w14:textId="13BACA8B" w:rsidR="00C133BC" w:rsidRDefault="00442C7E">
      <w:pPr>
        <w:jc w:val="both"/>
      </w:pPr>
      <w:r>
        <w:t>Les livrables attendus de la cartographie de la disponibilité et de l'adéquation des fourrages en fonction du climat par zone agroécologique sont les suivants :</w:t>
      </w:r>
    </w:p>
    <w:tbl>
      <w:tblPr>
        <w:tblStyle w:val="a"/>
        <w:tblW w:w="9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
        <w:gridCol w:w="1636"/>
        <w:gridCol w:w="5310"/>
        <w:gridCol w:w="990"/>
        <w:gridCol w:w="990"/>
      </w:tblGrid>
      <w:tr w:rsidR="00C133BC" w14:paraId="6223FEF8" w14:textId="77777777" w:rsidTr="00D87743">
        <w:trPr>
          <w:trHeight w:val="300"/>
        </w:trPr>
        <w:tc>
          <w:tcPr>
            <w:tcW w:w="334"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223FEF3" w14:textId="77777777" w:rsidR="00C133BC" w:rsidRDefault="00442C7E">
            <w:pPr>
              <w:jc w:val="both"/>
            </w:pPr>
            <w:r>
              <w:t xml:space="preserve"># </w:t>
            </w:r>
          </w:p>
        </w:tc>
        <w:tc>
          <w:tcPr>
            <w:tcW w:w="1636"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223FEF4" w14:textId="77777777" w:rsidR="00C133BC" w:rsidRDefault="00442C7E">
            <w:pPr>
              <w:jc w:val="both"/>
            </w:pPr>
            <w:r>
              <w:t>Libellé</w:t>
            </w:r>
          </w:p>
        </w:tc>
        <w:tc>
          <w:tcPr>
            <w:tcW w:w="531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223FEF5" w14:textId="77777777" w:rsidR="00C133BC" w:rsidRDefault="00442C7E">
            <w:pPr>
              <w:jc w:val="both"/>
            </w:pPr>
            <w:r>
              <w:t>Contenus du livrable</w:t>
            </w:r>
          </w:p>
        </w:tc>
        <w:tc>
          <w:tcPr>
            <w:tcW w:w="99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223FEF6" w14:textId="77777777" w:rsidR="00C133BC" w:rsidRDefault="00442C7E">
            <w:pPr>
              <w:jc w:val="both"/>
            </w:pPr>
            <w:r>
              <w:t>Durée</w:t>
            </w:r>
          </w:p>
        </w:tc>
        <w:tc>
          <w:tcPr>
            <w:tcW w:w="99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223FEF7" w14:textId="318CEDDA" w:rsidR="00C133BC" w:rsidRDefault="00442C7E">
            <w:pPr>
              <w:jc w:val="both"/>
            </w:pPr>
            <w:r>
              <w:t>Cumul</w:t>
            </w:r>
          </w:p>
        </w:tc>
      </w:tr>
      <w:tr w:rsidR="00C133BC" w14:paraId="6223FEFE" w14:textId="77777777" w:rsidTr="00D87743">
        <w:trPr>
          <w:trHeight w:val="300"/>
        </w:trPr>
        <w:tc>
          <w:tcPr>
            <w:tcW w:w="334"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223FEF9" w14:textId="77777777" w:rsidR="00C133BC" w:rsidRDefault="00442C7E">
            <w:pPr>
              <w:jc w:val="both"/>
            </w:pPr>
            <w:r>
              <w:t>1</w:t>
            </w:r>
          </w:p>
        </w:tc>
        <w:tc>
          <w:tcPr>
            <w:tcW w:w="1636"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223FEFA" w14:textId="31A5288D" w:rsidR="00C133BC" w:rsidRDefault="00442C7E" w:rsidP="000E1472">
            <w:pPr>
              <w:pStyle w:val="Heading2"/>
              <w:numPr>
                <w:ilvl w:val="0"/>
                <w:numId w:val="0"/>
              </w:numPr>
              <w:ind w:left="92"/>
              <w:rPr>
                <w:rFonts w:ascii="Calibri" w:eastAsia="Calibri" w:hAnsi="Calibri" w:cs="Calibri"/>
                <w:sz w:val="22"/>
                <w:szCs w:val="22"/>
              </w:rPr>
            </w:pPr>
            <w:bookmarkStart w:id="13" w:name="_heading=h.lnxbz9" w:colFirst="0" w:colLast="0"/>
            <w:bookmarkEnd w:id="13"/>
            <w:r>
              <w:rPr>
                <w:rFonts w:ascii="Calibri" w:eastAsia="Calibri" w:hAnsi="Calibri" w:cs="Calibri"/>
                <w:sz w:val="22"/>
                <w:szCs w:val="22"/>
              </w:rPr>
              <w:t>Méthodol</w:t>
            </w:r>
            <w:r w:rsidR="000E1472">
              <w:rPr>
                <w:rFonts w:ascii="Calibri" w:eastAsia="Calibri" w:hAnsi="Calibri" w:cs="Calibri"/>
                <w:sz w:val="22"/>
                <w:szCs w:val="22"/>
              </w:rPr>
              <w:t>o</w:t>
            </w:r>
            <w:r>
              <w:rPr>
                <w:rFonts w:ascii="Calibri" w:eastAsia="Calibri" w:hAnsi="Calibri" w:cs="Calibri"/>
                <w:sz w:val="22"/>
                <w:szCs w:val="22"/>
              </w:rPr>
              <w:t>gie</w:t>
            </w:r>
            <w:r w:rsidR="000E1472">
              <w:rPr>
                <w:rFonts w:ascii="Calibri" w:eastAsia="Calibri" w:hAnsi="Calibri" w:cs="Calibri"/>
                <w:sz w:val="22"/>
                <w:szCs w:val="22"/>
              </w:rPr>
              <w:t xml:space="preserve"> </w:t>
            </w:r>
            <w:r>
              <w:rPr>
                <w:rFonts w:ascii="Calibri" w:eastAsia="Calibri" w:hAnsi="Calibri" w:cs="Calibri"/>
                <w:sz w:val="22"/>
                <w:szCs w:val="22"/>
              </w:rPr>
              <w:t>fina</w:t>
            </w:r>
            <w:r w:rsidR="000E1472">
              <w:rPr>
                <w:rFonts w:ascii="Calibri" w:eastAsia="Calibri" w:hAnsi="Calibri" w:cs="Calibri"/>
                <w:sz w:val="22"/>
                <w:szCs w:val="22"/>
              </w:rPr>
              <w:t>l</w:t>
            </w:r>
            <w:r>
              <w:rPr>
                <w:rFonts w:ascii="Calibri" w:eastAsia="Calibri" w:hAnsi="Calibri" w:cs="Calibri"/>
                <w:sz w:val="22"/>
                <w:szCs w:val="22"/>
              </w:rPr>
              <w:t>isée</w:t>
            </w:r>
          </w:p>
        </w:tc>
        <w:tc>
          <w:tcPr>
            <w:tcW w:w="531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223FEFB" w14:textId="77777777" w:rsidR="00C133BC" w:rsidRDefault="00442C7E">
            <w:r>
              <w:t xml:space="preserve">La méthodologie introduite par le consultant retenu pour réaliser l’étude sera finalisée en accord avec PARE en vue de garantir que la démarche adoptée permettra d’atteindre les résultats escomptés. Ainsi les grilles d’enquêtes préparées par le consultant ainsi que le calendrier seront </w:t>
            </w:r>
            <w:proofErr w:type="gramStart"/>
            <w:r>
              <w:t>validés</w:t>
            </w:r>
            <w:proofErr w:type="gramEnd"/>
            <w:r>
              <w:t xml:space="preserve"> par PARE.</w:t>
            </w:r>
          </w:p>
        </w:tc>
        <w:tc>
          <w:tcPr>
            <w:tcW w:w="99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223FEFC" w14:textId="77777777" w:rsidR="00C133BC" w:rsidRDefault="00442C7E">
            <w:pPr>
              <w:jc w:val="both"/>
            </w:pPr>
            <w:r>
              <w:t>3 jours</w:t>
            </w:r>
          </w:p>
        </w:tc>
        <w:tc>
          <w:tcPr>
            <w:tcW w:w="99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223FEFD" w14:textId="77777777" w:rsidR="00C133BC" w:rsidRDefault="00442C7E">
            <w:pPr>
              <w:jc w:val="both"/>
            </w:pPr>
            <w:r>
              <w:t>3 jours</w:t>
            </w:r>
          </w:p>
        </w:tc>
      </w:tr>
      <w:tr w:rsidR="00C133BC" w14:paraId="6223FF08" w14:textId="77777777" w:rsidTr="00D87743">
        <w:trPr>
          <w:trHeight w:val="300"/>
        </w:trPr>
        <w:tc>
          <w:tcPr>
            <w:tcW w:w="334"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223FEFF" w14:textId="77777777" w:rsidR="00C133BC" w:rsidRDefault="00442C7E">
            <w:pPr>
              <w:jc w:val="both"/>
            </w:pPr>
            <w:r>
              <w:t>1</w:t>
            </w:r>
          </w:p>
        </w:tc>
        <w:tc>
          <w:tcPr>
            <w:tcW w:w="1636"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223FF00" w14:textId="48165733" w:rsidR="00C133BC" w:rsidRDefault="00442C7E" w:rsidP="000E1472">
            <w:pPr>
              <w:pStyle w:val="Heading2"/>
              <w:numPr>
                <w:ilvl w:val="0"/>
                <w:numId w:val="0"/>
              </w:numPr>
              <w:ind w:left="92"/>
              <w:rPr>
                <w:rFonts w:ascii="Calibri" w:eastAsia="Calibri" w:hAnsi="Calibri" w:cs="Calibri"/>
                <w:sz w:val="22"/>
                <w:szCs w:val="22"/>
              </w:rPr>
            </w:pPr>
            <w:bookmarkStart w:id="14" w:name="_heading=h.35nkun2" w:colFirst="0" w:colLast="0"/>
            <w:bookmarkEnd w:id="14"/>
            <w:r>
              <w:rPr>
                <w:rFonts w:ascii="Calibri" w:eastAsia="Calibri" w:hAnsi="Calibri" w:cs="Calibri"/>
                <w:sz w:val="22"/>
                <w:szCs w:val="22"/>
              </w:rPr>
              <w:t xml:space="preserve">Bibliographie </w:t>
            </w:r>
            <w:r w:rsidR="000E1472">
              <w:rPr>
                <w:rFonts w:ascii="Calibri" w:eastAsia="Calibri" w:hAnsi="Calibri" w:cs="Calibri"/>
                <w:sz w:val="22"/>
                <w:szCs w:val="22"/>
              </w:rPr>
              <w:t>a</w:t>
            </w:r>
            <w:r>
              <w:rPr>
                <w:rFonts w:ascii="Calibri" w:eastAsia="Calibri" w:hAnsi="Calibri" w:cs="Calibri"/>
                <w:sz w:val="22"/>
                <w:szCs w:val="22"/>
              </w:rPr>
              <w:t>nnotée (Rédaction et Présentation aux membres de PARE)</w:t>
            </w:r>
          </w:p>
        </w:tc>
        <w:tc>
          <w:tcPr>
            <w:tcW w:w="531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223FF01" w14:textId="77777777" w:rsidR="00C133BC" w:rsidRDefault="00442C7E">
            <w:r>
              <w:t>Une étude bibliographique portant sur les documents publics et aussi la documentation non-exploitée existante chez les chercheurs ayant travaillé en Haïti sur le sujet. Les travaux réalisés dans la Caraïbe en général seront aussi consultés. Cela comprend une liste de sources suivie d'une annotation - un court paragraphe résumant et évaluant la pertinence des données disponibles dans la source.</w:t>
            </w:r>
          </w:p>
          <w:p w14:paraId="6223FF02" w14:textId="77777777" w:rsidR="00C133BC" w:rsidRDefault="00442C7E">
            <w:r>
              <w:t>La soumission des documents consultés sous un support électronique</w:t>
            </w:r>
          </w:p>
        </w:tc>
        <w:tc>
          <w:tcPr>
            <w:tcW w:w="99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223FF03" w14:textId="77777777" w:rsidR="00C133BC" w:rsidRDefault="00442C7E">
            <w:pPr>
              <w:jc w:val="both"/>
            </w:pPr>
            <w:r>
              <w:t>5 jours</w:t>
            </w:r>
          </w:p>
        </w:tc>
        <w:tc>
          <w:tcPr>
            <w:tcW w:w="99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223FF04" w14:textId="77777777" w:rsidR="00C133BC" w:rsidRDefault="00442C7E">
            <w:pPr>
              <w:spacing w:line="257" w:lineRule="auto"/>
              <w:jc w:val="both"/>
            </w:pPr>
            <w:r>
              <w:t xml:space="preserve">8 jours </w:t>
            </w:r>
          </w:p>
          <w:p w14:paraId="6223FF05" w14:textId="77777777" w:rsidR="00C133BC" w:rsidRDefault="00C133BC">
            <w:pPr>
              <w:jc w:val="both"/>
            </w:pPr>
          </w:p>
          <w:p w14:paraId="6223FF06" w14:textId="77777777" w:rsidR="00C133BC" w:rsidRDefault="00442C7E">
            <w:pPr>
              <w:spacing w:line="257" w:lineRule="auto"/>
              <w:jc w:val="both"/>
            </w:pPr>
            <w:r>
              <w:t xml:space="preserve"> </w:t>
            </w:r>
          </w:p>
          <w:p w14:paraId="6223FF07" w14:textId="77777777" w:rsidR="00C133BC" w:rsidRDefault="00C133BC">
            <w:pPr>
              <w:jc w:val="both"/>
            </w:pPr>
          </w:p>
        </w:tc>
      </w:tr>
      <w:tr w:rsidR="00C133BC" w14:paraId="6223FF0E" w14:textId="77777777" w:rsidTr="00D87743">
        <w:trPr>
          <w:trHeight w:val="300"/>
        </w:trPr>
        <w:tc>
          <w:tcPr>
            <w:tcW w:w="334"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223FF09" w14:textId="77777777" w:rsidR="00C133BC" w:rsidRDefault="00442C7E">
            <w:pPr>
              <w:jc w:val="both"/>
            </w:pPr>
            <w:r>
              <w:t>2</w:t>
            </w:r>
          </w:p>
        </w:tc>
        <w:tc>
          <w:tcPr>
            <w:tcW w:w="1636"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223FF0A" w14:textId="77777777" w:rsidR="00C133BC" w:rsidRDefault="00442C7E" w:rsidP="00621ED2">
            <w:pPr>
              <w:pStyle w:val="Heading2"/>
              <w:numPr>
                <w:ilvl w:val="0"/>
                <w:numId w:val="0"/>
              </w:numPr>
              <w:ind w:left="92"/>
              <w:rPr>
                <w:rFonts w:ascii="Calibri" w:eastAsia="Calibri" w:hAnsi="Calibri" w:cs="Calibri"/>
                <w:sz w:val="22"/>
                <w:szCs w:val="22"/>
              </w:rPr>
            </w:pPr>
            <w:bookmarkStart w:id="15" w:name="_heading=h.1ksv4uv" w:colFirst="0" w:colLast="0"/>
            <w:bookmarkEnd w:id="15"/>
            <w:r>
              <w:rPr>
                <w:rFonts w:ascii="Calibri" w:eastAsia="Calibri" w:hAnsi="Calibri" w:cs="Calibri"/>
                <w:sz w:val="22"/>
                <w:szCs w:val="22"/>
              </w:rPr>
              <w:t>Rapport Intermédiaire document PPT</w:t>
            </w:r>
          </w:p>
        </w:tc>
        <w:tc>
          <w:tcPr>
            <w:tcW w:w="531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223FF0B" w14:textId="77777777" w:rsidR="00C133BC" w:rsidRDefault="00442C7E">
            <w:pPr>
              <w:pBdr>
                <w:top w:val="nil"/>
                <w:left w:val="nil"/>
                <w:bottom w:val="nil"/>
                <w:right w:val="nil"/>
                <w:between w:val="nil"/>
              </w:pBdr>
              <w:spacing w:after="160"/>
              <w:rPr>
                <w:color w:val="000000"/>
              </w:rPr>
            </w:pPr>
            <w:r>
              <w:rPr>
                <w:color w:val="000000"/>
              </w:rPr>
              <w:t xml:space="preserve">Le rapport intermédiaire présentera les données collectées de l'étude bibliographique et sur le terrain à partir des questionnaires approuvés à cette fin, suivi d'une 1re analyse (préliminaire) des données </w:t>
            </w:r>
            <w:r>
              <w:rPr>
                <w:color w:val="000000"/>
              </w:rPr>
              <w:lastRenderedPageBreak/>
              <w:t xml:space="preserve">disponibles. Le rapport doit être soumis 4 jours calendaires avant la présentation. </w:t>
            </w:r>
          </w:p>
        </w:tc>
        <w:tc>
          <w:tcPr>
            <w:tcW w:w="99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223FF0C" w14:textId="77777777" w:rsidR="00C133BC" w:rsidRDefault="00442C7E">
            <w:pPr>
              <w:jc w:val="both"/>
            </w:pPr>
            <w:r>
              <w:lastRenderedPageBreak/>
              <w:t>10 jours</w:t>
            </w:r>
          </w:p>
        </w:tc>
        <w:tc>
          <w:tcPr>
            <w:tcW w:w="99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223FF0D" w14:textId="77777777" w:rsidR="00C133BC" w:rsidRDefault="00442C7E">
            <w:pPr>
              <w:jc w:val="both"/>
            </w:pPr>
            <w:r>
              <w:t>18 jours</w:t>
            </w:r>
          </w:p>
        </w:tc>
      </w:tr>
      <w:tr w:rsidR="00C133BC" w14:paraId="6223FF14" w14:textId="77777777" w:rsidTr="00D87743">
        <w:trPr>
          <w:trHeight w:val="735"/>
        </w:trPr>
        <w:tc>
          <w:tcPr>
            <w:tcW w:w="334"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223FF0F" w14:textId="77777777" w:rsidR="00C133BC" w:rsidRDefault="00442C7E">
            <w:pPr>
              <w:jc w:val="both"/>
            </w:pPr>
            <w:r>
              <w:t>3</w:t>
            </w:r>
          </w:p>
        </w:tc>
        <w:tc>
          <w:tcPr>
            <w:tcW w:w="1636"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223FF10" w14:textId="01058850" w:rsidR="00C133BC" w:rsidRDefault="00442C7E" w:rsidP="00621ED2">
            <w:pPr>
              <w:pStyle w:val="Heading2"/>
              <w:numPr>
                <w:ilvl w:val="0"/>
                <w:numId w:val="0"/>
              </w:numPr>
              <w:ind w:left="2"/>
              <w:rPr>
                <w:rFonts w:ascii="Calibri" w:eastAsia="Calibri" w:hAnsi="Calibri" w:cs="Calibri"/>
                <w:sz w:val="22"/>
                <w:szCs w:val="22"/>
              </w:rPr>
            </w:pPr>
            <w:bookmarkStart w:id="16" w:name="_heading=h.44sinio" w:colFirst="0" w:colLast="0"/>
            <w:bookmarkEnd w:id="16"/>
            <w:r>
              <w:rPr>
                <w:rFonts w:ascii="Calibri" w:eastAsia="Calibri" w:hAnsi="Calibri" w:cs="Calibri"/>
                <w:sz w:val="22"/>
                <w:szCs w:val="22"/>
              </w:rPr>
              <w:t>Présentation (devant l’équipe PARE)</w:t>
            </w:r>
          </w:p>
        </w:tc>
        <w:tc>
          <w:tcPr>
            <w:tcW w:w="531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223FF11" w14:textId="77777777" w:rsidR="00C133BC" w:rsidRDefault="00442C7E">
            <w:pPr>
              <w:rPr>
                <w:color w:val="000000"/>
              </w:rPr>
            </w:pPr>
            <w:r>
              <w:rPr>
                <w:color w:val="000000"/>
              </w:rPr>
              <w:t xml:space="preserve">Une présentation Powerpoint sera réalisée devant l’équipe de PARE pour partager les résultats obtenus et les premières analyses effectuées pour discuter des points d'entrée potentiels. </w:t>
            </w:r>
          </w:p>
        </w:tc>
        <w:tc>
          <w:tcPr>
            <w:tcW w:w="99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223FF12" w14:textId="77777777" w:rsidR="00C133BC" w:rsidRDefault="00442C7E">
            <w:pPr>
              <w:jc w:val="both"/>
            </w:pPr>
            <w:r>
              <w:t>1 jours</w:t>
            </w:r>
          </w:p>
        </w:tc>
        <w:tc>
          <w:tcPr>
            <w:tcW w:w="99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223FF13" w14:textId="77777777" w:rsidR="00C133BC" w:rsidRDefault="00442C7E">
            <w:pPr>
              <w:jc w:val="both"/>
            </w:pPr>
            <w:r>
              <w:t>19 jours</w:t>
            </w:r>
          </w:p>
        </w:tc>
      </w:tr>
      <w:tr w:rsidR="00C133BC" w14:paraId="6223FF1D" w14:textId="77777777" w:rsidTr="00D87743">
        <w:trPr>
          <w:trHeight w:val="735"/>
        </w:trPr>
        <w:tc>
          <w:tcPr>
            <w:tcW w:w="334"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223FF15" w14:textId="77777777" w:rsidR="00C133BC" w:rsidRDefault="00442C7E">
            <w:pPr>
              <w:jc w:val="both"/>
            </w:pPr>
            <w:r>
              <w:t>4</w:t>
            </w:r>
          </w:p>
        </w:tc>
        <w:tc>
          <w:tcPr>
            <w:tcW w:w="1636"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223FF16" w14:textId="77777777" w:rsidR="00C133BC" w:rsidRDefault="00442C7E" w:rsidP="00621ED2">
            <w:pPr>
              <w:pStyle w:val="Heading2"/>
              <w:numPr>
                <w:ilvl w:val="0"/>
                <w:numId w:val="0"/>
              </w:numPr>
              <w:ind w:left="92"/>
              <w:rPr>
                <w:rFonts w:ascii="Calibri" w:eastAsia="Calibri" w:hAnsi="Calibri" w:cs="Calibri"/>
                <w:sz w:val="22"/>
                <w:szCs w:val="22"/>
              </w:rPr>
            </w:pPr>
            <w:bookmarkStart w:id="17" w:name="_heading=h.2jxsxqh" w:colFirst="0" w:colLast="0"/>
            <w:bookmarkEnd w:id="17"/>
            <w:r>
              <w:rPr>
                <w:rFonts w:ascii="Calibri" w:eastAsia="Calibri" w:hAnsi="Calibri" w:cs="Calibri"/>
                <w:sz w:val="22"/>
                <w:szCs w:val="22"/>
              </w:rPr>
              <w:t>Rapport final et PowerPoint</w:t>
            </w:r>
          </w:p>
        </w:tc>
        <w:tc>
          <w:tcPr>
            <w:tcW w:w="531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223FF17" w14:textId="77777777" w:rsidR="00C133BC" w:rsidRDefault="00442C7E">
            <w:pPr>
              <w:rPr>
                <w:color w:val="000000"/>
              </w:rPr>
            </w:pPr>
            <w:r>
              <w:rPr>
                <w:color w:val="000000"/>
              </w:rPr>
              <w:t>Un rapport final en Français comprenant une synthèse (français et créole) sera soumis à PARE additionné d’un document PowerPoint final qui sera utilisé par PARE dans le cadre de ses activités. Ce rapport inclura entre autres :</w:t>
            </w:r>
          </w:p>
          <w:p w14:paraId="6223FF18" w14:textId="77777777" w:rsidR="00C133BC" w:rsidRDefault="00442C7E">
            <w:pPr>
              <w:numPr>
                <w:ilvl w:val="0"/>
                <w:numId w:val="2"/>
              </w:numPr>
              <w:pBdr>
                <w:top w:val="nil"/>
                <w:left w:val="nil"/>
                <w:bottom w:val="nil"/>
                <w:right w:val="nil"/>
                <w:between w:val="nil"/>
              </w:pBdr>
              <w:spacing w:line="259" w:lineRule="auto"/>
              <w:ind w:left="270" w:hanging="270"/>
              <w:rPr>
                <w:color w:val="000000"/>
              </w:rPr>
            </w:pPr>
            <w:r>
              <w:rPr>
                <w:color w:val="000000"/>
              </w:rPr>
              <w:t>Une cartographie complète des espèces et variétés inventoriées en Haïti et leur adéquation avec les différentes zones agroécologiques</w:t>
            </w:r>
          </w:p>
          <w:p w14:paraId="6223FF19" w14:textId="77777777" w:rsidR="00C133BC" w:rsidRDefault="00442C7E">
            <w:pPr>
              <w:numPr>
                <w:ilvl w:val="0"/>
                <w:numId w:val="2"/>
              </w:numPr>
              <w:pBdr>
                <w:top w:val="nil"/>
                <w:left w:val="nil"/>
                <w:bottom w:val="nil"/>
                <w:right w:val="nil"/>
                <w:between w:val="nil"/>
              </w:pBdr>
              <w:spacing w:line="259" w:lineRule="auto"/>
              <w:ind w:left="270" w:hanging="270"/>
              <w:rPr>
                <w:color w:val="000000"/>
              </w:rPr>
            </w:pPr>
            <w:r>
              <w:rPr>
                <w:color w:val="000000"/>
              </w:rPr>
              <w:t>Un catalogue (bibliographie et enquêtes de terrain) des espèces de fourrages identifiées (taxonomie) ;</w:t>
            </w:r>
          </w:p>
          <w:p w14:paraId="6223FF1A" w14:textId="77777777" w:rsidR="00C133BC" w:rsidRDefault="00442C7E">
            <w:pPr>
              <w:numPr>
                <w:ilvl w:val="0"/>
                <w:numId w:val="2"/>
              </w:numPr>
              <w:pBdr>
                <w:top w:val="nil"/>
                <w:left w:val="nil"/>
                <w:bottom w:val="nil"/>
                <w:right w:val="nil"/>
                <w:between w:val="nil"/>
              </w:pBdr>
              <w:spacing w:after="160" w:line="259" w:lineRule="auto"/>
              <w:ind w:left="270" w:hanging="270"/>
              <w:rPr>
                <w:color w:val="000000"/>
              </w:rPr>
            </w:pPr>
            <w:r>
              <w:rPr>
                <w:color w:val="000000"/>
              </w:rPr>
              <w:t>L’identification, dans les quatre départements de mise en œuvre de PARE, des grandes exploitations ayant la capacité et la volonté d'investir dans la production et la commercialisation à grande échelle des fourrages.</w:t>
            </w:r>
          </w:p>
        </w:tc>
        <w:tc>
          <w:tcPr>
            <w:tcW w:w="99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223FF1B" w14:textId="77777777" w:rsidR="00C133BC" w:rsidRDefault="00442C7E">
            <w:pPr>
              <w:spacing w:line="259" w:lineRule="auto"/>
              <w:jc w:val="both"/>
            </w:pPr>
            <w:r>
              <w:t>6 jours</w:t>
            </w:r>
          </w:p>
        </w:tc>
        <w:tc>
          <w:tcPr>
            <w:tcW w:w="99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223FF1C" w14:textId="77777777" w:rsidR="00C133BC" w:rsidRDefault="00442C7E">
            <w:pPr>
              <w:jc w:val="both"/>
            </w:pPr>
            <w:r>
              <w:t>25 jours</w:t>
            </w:r>
          </w:p>
        </w:tc>
      </w:tr>
    </w:tbl>
    <w:p w14:paraId="6223FF1E" w14:textId="77777777" w:rsidR="00C133BC" w:rsidRDefault="00C133BC">
      <w:pPr>
        <w:jc w:val="both"/>
      </w:pPr>
    </w:p>
    <w:p w14:paraId="6223FF1F" w14:textId="77777777" w:rsidR="00C133BC" w:rsidRPr="00F24521" w:rsidRDefault="00442C7E" w:rsidP="000A4B0F">
      <w:pPr>
        <w:pStyle w:val="Heading1"/>
        <w:numPr>
          <w:ilvl w:val="0"/>
          <w:numId w:val="5"/>
        </w:numPr>
        <w:spacing w:after="160"/>
        <w:rPr>
          <w:sz w:val="28"/>
          <w:szCs w:val="28"/>
        </w:rPr>
      </w:pPr>
      <w:bookmarkStart w:id="18" w:name="_heading=h.z337ya" w:colFirst="0" w:colLast="0"/>
      <w:bookmarkEnd w:id="18"/>
      <w:r w:rsidRPr="00F24521">
        <w:rPr>
          <w:sz w:val="28"/>
          <w:szCs w:val="28"/>
        </w:rPr>
        <w:t>Profil du Consultant en Cartographie de la Disponibilité et de l'Adéquation des Fourrages en Fonction du Climat par Zone Agroécologique</w:t>
      </w:r>
    </w:p>
    <w:p w14:paraId="6223FF20" w14:textId="77777777" w:rsidR="00C133BC" w:rsidRPr="000A4B0F" w:rsidRDefault="00442C7E">
      <w:pPr>
        <w:pStyle w:val="Heading2"/>
        <w:numPr>
          <w:ilvl w:val="1"/>
          <w:numId w:val="5"/>
        </w:numPr>
        <w:rPr>
          <w:b/>
        </w:rPr>
      </w:pPr>
      <w:bookmarkStart w:id="19" w:name="_heading=h.3j2qqm3" w:colFirst="0" w:colLast="0"/>
      <w:bookmarkEnd w:id="19"/>
      <w:r w:rsidRPr="000A4B0F">
        <w:rPr>
          <w:b/>
        </w:rPr>
        <w:t>Informations Générales</w:t>
      </w:r>
    </w:p>
    <w:p w14:paraId="6223FF21" w14:textId="77777777" w:rsidR="00C133BC" w:rsidRDefault="00442C7E">
      <w:pPr>
        <w:numPr>
          <w:ilvl w:val="0"/>
          <w:numId w:val="8"/>
        </w:numPr>
        <w:pBdr>
          <w:top w:val="nil"/>
          <w:left w:val="nil"/>
          <w:bottom w:val="nil"/>
          <w:right w:val="nil"/>
          <w:between w:val="nil"/>
        </w:pBdr>
        <w:spacing w:after="0"/>
        <w:jc w:val="both"/>
      </w:pPr>
      <w:r>
        <w:rPr>
          <w:color w:val="000000"/>
        </w:rPr>
        <w:t>Titre du poste : Consultant en cartographie et adéquation des fourrages par zones agroécologiques</w:t>
      </w:r>
    </w:p>
    <w:p w14:paraId="6223FF22" w14:textId="0EA88989" w:rsidR="00C133BC" w:rsidRDefault="00442C7E">
      <w:pPr>
        <w:numPr>
          <w:ilvl w:val="0"/>
          <w:numId w:val="8"/>
        </w:numPr>
        <w:pBdr>
          <w:top w:val="nil"/>
          <w:left w:val="nil"/>
          <w:bottom w:val="nil"/>
          <w:right w:val="nil"/>
          <w:between w:val="nil"/>
        </w:pBdr>
        <w:spacing w:after="0"/>
        <w:jc w:val="both"/>
      </w:pPr>
      <w:r>
        <w:rPr>
          <w:color w:val="000000"/>
        </w:rPr>
        <w:t>Domaine de Spécialisation</w:t>
      </w:r>
      <w:r w:rsidR="00231AB9">
        <w:rPr>
          <w:color w:val="000000"/>
        </w:rPr>
        <w:t xml:space="preserve"> </w:t>
      </w:r>
      <w:r>
        <w:rPr>
          <w:color w:val="000000"/>
        </w:rPr>
        <w:t xml:space="preserve">: </w:t>
      </w:r>
      <w:proofErr w:type="spellStart"/>
      <w:r>
        <w:rPr>
          <w:color w:val="000000"/>
        </w:rPr>
        <w:t>Agrostologie</w:t>
      </w:r>
      <w:proofErr w:type="spellEnd"/>
      <w:r>
        <w:rPr>
          <w:color w:val="000000"/>
        </w:rPr>
        <w:t>, agronomie, agroécologie, géographie environnementale, botanique</w:t>
      </w:r>
    </w:p>
    <w:p w14:paraId="6223FF23" w14:textId="77777777" w:rsidR="00C133BC" w:rsidRDefault="00442C7E">
      <w:pPr>
        <w:numPr>
          <w:ilvl w:val="0"/>
          <w:numId w:val="8"/>
        </w:numPr>
        <w:pBdr>
          <w:top w:val="nil"/>
          <w:left w:val="nil"/>
          <w:bottom w:val="nil"/>
          <w:right w:val="nil"/>
          <w:between w:val="nil"/>
        </w:pBdr>
        <w:spacing w:after="0"/>
        <w:jc w:val="both"/>
      </w:pPr>
      <w:r>
        <w:rPr>
          <w:color w:val="000000"/>
        </w:rPr>
        <w:t>Type de Contrat : À court terme / mission spécifique</w:t>
      </w:r>
    </w:p>
    <w:p w14:paraId="6223FF24" w14:textId="77777777" w:rsidR="00C133BC" w:rsidRDefault="00442C7E">
      <w:pPr>
        <w:numPr>
          <w:ilvl w:val="0"/>
          <w:numId w:val="8"/>
        </w:numPr>
        <w:pBdr>
          <w:top w:val="nil"/>
          <w:left w:val="nil"/>
          <w:bottom w:val="nil"/>
          <w:right w:val="nil"/>
          <w:between w:val="nil"/>
        </w:pBdr>
        <w:jc w:val="both"/>
      </w:pPr>
      <w:r>
        <w:rPr>
          <w:color w:val="000000"/>
        </w:rPr>
        <w:t>Localisation : Variable (travail de terrain dans les zones agroécologiques ciblées et travail à distance)</w:t>
      </w:r>
    </w:p>
    <w:p w14:paraId="6223FF25" w14:textId="77777777" w:rsidR="00C133BC" w:rsidRDefault="00442C7E">
      <w:pPr>
        <w:pStyle w:val="Heading2"/>
        <w:numPr>
          <w:ilvl w:val="1"/>
          <w:numId w:val="5"/>
        </w:numPr>
        <w:rPr>
          <w:b/>
        </w:rPr>
      </w:pPr>
      <w:bookmarkStart w:id="20" w:name="_heading=h.1y810tw" w:colFirst="0" w:colLast="0"/>
      <w:bookmarkEnd w:id="20"/>
      <w:r>
        <w:rPr>
          <w:b/>
        </w:rPr>
        <w:t>Qualifications Essentielles</w:t>
      </w:r>
    </w:p>
    <w:p w14:paraId="6223FF26" w14:textId="77777777" w:rsidR="00C133BC" w:rsidRDefault="00442C7E">
      <w:pPr>
        <w:numPr>
          <w:ilvl w:val="0"/>
          <w:numId w:val="3"/>
        </w:numPr>
        <w:pBdr>
          <w:top w:val="nil"/>
          <w:left w:val="nil"/>
          <w:bottom w:val="nil"/>
          <w:right w:val="nil"/>
          <w:between w:val="nil"/>
        </w:pBdr>
        <w:spacing w:after="0"/>
        <w:jc w:val="both"/>
      </w:pPr>
      <w:r>
        <w:rPr>
          <w:color w:val="000000"/>
        </w:rPr>
        <w:t xml:space="preserve">Formation Académique : Diplôme de niveau Master ou supérieur en </w:t>
      </w:r>
      <w:proofErr w:type="spellStart"/>
      <w:r>
        <w:rPr>
          <w:color w:val="000000"/>
        </w:rPr>
        <w:t>agrostologie</w:t>
      </w:r>
      <w:proofErr w:type="spellEnd"/>
      <w:r>
        <w:rPr>
          <w:color w:val="000000"/>
        </w:rPr>
        <w:t>, agronomie, agroécologie, géographie environnementale, botanique, ou un domaine connexe.</w:t>
      </w:r>
    </w:p>
    <w:p w14:paraId="6223FF27" w14:textId="77777777" w:rsidR="00C133BC" w:rsidRDefault="00442C7E">
      <w:pPr>
        <w:numPr>
          <w:ilvl w:val="0"/>
          <w:numId w:val="3"/>
        </w:numPr>
        <w:pBdr>
          <w:top w:val="nil"/>
          <w:left w:val="nil"/>
          <w:bottom w:val="nil"/>
          <w:right w:val="nil"/>
          <w:between w:val="nil"/>
        </w:pBdr>
        <w:jc w:val="both"/>
      </w:pPr>
      <w:r>
        <w:rPr>
          <w:color w:val="000000"/>
        </w:rPr>
        <w:t>Expérience Professionnelle : Au moins 5 ans d'expérience, avec un accent particulier sur l'étude des fourrages, la gestion des ressources naturelles, ou la cartographie environnementale. Expérience antérieure pertinente en matière d'évaluation des ressources agroécologiques et de développement de stratégies adaptatives face aux changements climatiques.</w:t>
      </w:r>
    </w:p>
    <w:p w14:paraId="6223FF28" w14:textId="77777777" w:rsidR="00C133BC" w:rsidRDefault="00442C7E">
      <w:pPr>
        <w:pStyle w:val="Heading2"/>
        <w:numPr>
          <w:ilvl w:val="1"/>
          <w:numId w:val="5"/>
        </w:numPr>
        <w:rPr>
          <w:b/>
        </w:rPr>
      </w:pPr>
      <w:bookmarkStart w:id="21" w:name="_heading=h.4i7ojhp" w:colFirst="0" w:colLast="0"/>
      <w:bookmarkEnd w:id="21"/>
      <w:r>
        <w:rPr>
          <w:b/>
        </w:rPr>
        <w:t>Qualités Techniques</w:t>
      </w:r>
    </w:p>
    <w:p w14:paraId="6223FF29" w14:textId="77777777" w:rsidR="00C133BC" w:rsidRDefault="00442C7E">
      <w:pPr>
        <w:numPr>
          <w:ilvl w:val="0"/>
          <w:numId w:val="3"/>
        </w:numPr>
        <w:pBdr>
          <w:top w:val="nil"/>
          <w:left w:val="nil"/>
          <w:bottom w:val="nil"/>
          <w:right w:val="nil"/>
          <w:between w:val="nil"/>
        </w:pBdr>
        <w:spacing w:after="0"/>
        <w:jc w:val="both"/>
      </w:pPr>
      <w:r>
        <w:rPr>
          <w:color w:val="000000"/>
        </w:rPr>
        <w:t>Connaissance des Systèmes Agroécologiques : Compréhension approfondie des différentes zones agroécologiques, de leur biodiversité, et des impacts du climat sur l'agriculture.</w:t>
      </w:r>
    </w:p>
    <w:p w14:paraId="6223FF2A" w14:textId="77777777" w:rsidR="00C133BC" w:rsidRDefault="00442C7E">
      <w:pPr>
        <w:numPr>
          <w:ilvl w:val="0"/>
          <w:numId w:val="3"/>
        </w:numPr>
        <w:pBdr>
          <w:top w:val="nil"/>
          <w:left w:val="nil"/>
          <w:bottom w:val="nil"/>
          <w:right w:val="nil"/>
          <w:between w:val="nil"/>
        </w:pBdr>
        <w:spacing w:after="0"/>
        <w:jc w:val="both"/>
      </w:pPr>
      <w:r>
        <w:rPr>
          <w:color w:val="000000"/>
        </w:rPr>
        <w:t xml:space="preserve">Expertise en </w:t>
      </w:r>
      <w:proofErr w:type="gramStart"/>
      <w:r>
        <w:rPr>
          <w:color w:val="000000"/>
        </w:rPr>
        <w:t>fourrages:</w:t>
      </w:r>
      <w:proofErr w:type="gramEnd"/>
      <w:r>
        <w:rPr>
          <w:color w:val="000000"/>
        </w:rPr>
        <w:t xml:space="preserve"> Connaissance approfondie des différents types de fourrages, de leur culture, et de leur adaptation aux conditions climatiques variables.</w:t>
      </w:r>
    </w:p>
    <w:p w14:paraId="6223FF2B" w14:textId="77777777" w:rsidR="00C133BC" w:rsidRDefault="00442C7E">
      <w:pPr>
        <w:numPr>
          <w:ilvl w:val="0"/>
          <w:numId w:val="3"/>
        </w:numPr>
        <w:pBdr>
          <w:top w:val="nil"/>
          <w:left w:val="nil"/>
          <w:bottom w:val="nil"/>
          <w:right w:val="nil"/>
          <w:between w:val="nil"/>
        </w:pBdr>
        <w:spacing w:after="0"/>
        <w:jc w:val="both"/>
      </w:pPr>
      <w:r>
        <w:rPr>
          <w:color w:val="000000"/>
        </w:rPr>
        <w:lastRenderedPageBreak/>
        <w:t xml:space="preserve">Maîtrise des Outils </w:t>
      </w:r>
      <w:proofErr w:type="gramStart"/>
      <w:r>
        <w:rPr>
          <w:color w:val="000000"/>
        </w:rPr>
        <w:t>SIG:</w:t>
      </w:r>
      <w:proofErr w:type="gramEnd"/>
      <w:r>
        <w:rPr>
          <w:color w:val="000000"/>
        </w:rPr>
        <w:t xml:space="preserve"> Compétences avancées dans l'utilisation de systèmes d'information géographique (SIG) pour la cartographie et l'analyse spatiale.</w:t>
      </w:r>
    </w:p>
    <w:p w14:paraId="6223FF2C" w14:textId="77777777" w:rsidR="00C133BC" w:rsidRDefault="00442C7E">
      <w:pPr>
        <w:numPr>
          <w:ilvl w:val="0"/>
          <w:numId w:val="3"/>
        </w:numPr>
        <w:pBdr>
          <w:top w:val="nil"/>
          <w:left w:val="nil"/>
          <w:bottom w:val="nil"/>
          <w:right w:val="nil"/>
          <w:between w:val="nil"/>
        </w:pBdr>
        <w:jc w:val="both"/>
      </w:pPr>
      <w:r>
        <w:rPr>
          <w:color w:val="000000"/>
        </w:rPr>
        <w:t xml:space="preserve">Analyse de données et </w:t>
      </w:r>
      <w:proofErr w:type="gramStart"/>
      <w:r>
        <w:rPr>
          <w:color w:val="000000"/>
        </w:rPr>
        <w:t>rapportage:</w:t>
      </w:r>
      <w:proofErr w:type="gramEnd"/>
      <w:r>
        <w:rPr>
          <w:color w:val="000000"/>
        </w:rPr>
        <w:t xml:space="preserve"> Capacité à collecter, analyser et interpréter des données complexes et à rédiger des rapports clairs et détaillés.</w:t>
      </w:r>
    </w:p>
    <w:p w14:paraId="6223FF2D" w14:textId="77777777" w:rsidR="00C133BC" w:rsidRPr="00415FAB" w:rsidRDefault="00442C7E">
      <w:pPr>
        <w:pStyle w:val="Heading2"/>
        <w:numPr>
          <w:ilvl w:val="1"/>
          <w:numId w:val="5"/>
        </w:numPr>
        <w:rPr>
          <w:b/>
          <w:bCs/>
        </w:rPr>
      </w:pPr>
      <w:bookmarkStart w:id="22" w:name="_heading=h.2xcytpi" w:colFirst="0" w:colLast="0"/>
      <w:bookmarkEnd w:id="22"/>
      <w:r w:rsidRPr="00415FAB">
        <w:rPr>
          <w:b/>
          <w:bCs/>
        </w:rPr>
        <w:t>Qualités Interpersonnelles et Communication</w:t>
      </w:r>
    </w:p>
    <w:p w14:paraId="6223FF2E" w14:textId="77777777" w:rsidR="00C133BC" w:rsidRDefault="00442C7E">
      <w:pPr>
        <w:numPr>
          <w:ilvl w:val="0"/>
          <w:numId w:val="3"/>
        </w:numPr>
        <w:pBdr>
          <w:top w:val="nil"/>
          <w:left w:val="nil"/>
          <w:bottom w:val="nil"/>
          <w:right w:val="nil"/>
          <w:between w:val="nil"/>
        </w:pBdr>
        <w:spacing w:after="0"/>
        <w:jc w:val="both"/>
      </w:pPr>
      <w:r>
        <w:rPr>
          <w:color w:val="000000"/>
        </w:rPr>
        <w:t>Habileté de Communication orale et écrite ; capacité à présenter des informations techniques à un public non spécialisé.</w:t>
      </w:r>
    </w:p>
    <w:p w14:paraId="6223FF2F" w14:textId="77777777" w:rsidR="00C133BC" w:rsidRDefault="00442C7E">
      <w:pPr>
        <w:numPr>
          <w:ilvl w:val="0"/>
          <w:numId w:val="3"/>
        </w:numPr>
        <w:pBdr>
          <w:top w:val="nil"/>
          <w:left w:val="nil"/>
          <w:bottom w:val="nil"/>
          <w:right w:val="nil"/>
          <w:between w:val="nil"/>
        </w:pBdr>
        <w:jc w:val="both"/>
      </w:pPr>
      <w:r>
        <w:rPr>
          <w:color w:val="000000"/>
        </w:rPr>
        <w:t>Aptitude à travailler efficacement en équipe et à collaborer avec diverses parties prenantes, y compris des agriculteurs, des chercheurs et des décideurs.</w:t>
      </w:r>
    </w:p>
    <w:p w14:paraId="6223FF30" w14:textId="77777777" w:rsidR="00C133BC" w:rsidRPr="00415FAB" w:rsidRDefault="00442C7E">
      <w:pPr>
        <w:pStyle w:val="Heading2"/>
        <w:numPr>
          <w:ilvl w:val="1"/>
          <w:numId w:val="5"/>
        </w:numPr>
        <w:rPr>
          <w:b/>
          <w:bCs/>
        </w:rPr>
      </w:pPr>
      <w:bookmarkStart w:id="23" w:name="_heading=h.1ci93xb" w:colFirst="0" w:colLast="0"/>
      <w:bookmarkEnd w:id="23"/>
      <w:r w:rsidRPr="00415FAB">
        <w:rPr>
          <w:b/>
          <w:bCs/>
        </w:rPr>
        <w:t>Autres Exigences</w:t>
      </w:r>
    </w:p>
    <w:p w14:paraId="6223FF31" w14:textId="77777777" w:rsidR="00C133BC" w:rsidRDefault="00442C7E">
      <w:pPr>
        <w:numPr>
          <w:ilvl w:val="0"/>
          <w:numId w:val="3"/>
        </w:numPr>
        <w:pBdr>
          <w:top w:val="nil"/>
          <w:left w:val="nil"/>
          <w:bottom w:val="nil"/>
          <w:right w:val="nil"/>
          <w:between w:val="nil"/>
        </w:pBdr>
        <w:spacing w:after="0"/>
        <w:jc w:val="both"/>
      </w:pPr>
      <w:r>
        <w:rPr>
          <w:color w:val="000000"/>
        </w:rPr>
        <w:t>Disponibilité à effectuer des voyages dans différentes régions en Haïti y compris dans des zones rurales éloignées.</w:t>
      </w:r>
    </w:p>
    <w:p w14:paraId="6223FF32" w14:textId="77777777" w:rsidR="00C133BC" w:rsidRDefault="00442C7E">
      <w:pPr>
        <w:numPr>
          <w:ilvl w:val="0"/>
          <w:numId w:val="3"/>
        </w:numPr>
        <w:pBdr>
          <w:top w:val="nil"/>
          <w:left w:val="nil"/>
          <w:bottom w:val="nil"/>
          <w:right w:val="nil"/>
          <w:between w:val="nil"/>
        </w:pBdr>
        <w:spacing w:after="0"/>
        <w:jc w:val="both"/>
      </w:pPr>
      <w:r>
        <w:rPr>
          <w:color w:val="000000"/>
        </w:rPr>
        <w:t>Flexibilité et Adaptabilité : Capacité à s'adapter à des conditions de travail changeantes et à répondre efficacement aux défis imprévus.</w:t>
      </w:r>
    </w:p>
    <w:p w14:paraId="6223FF33" w14:textId="77777777" w:rsidR="00C133BC" w:rsidRDefault="00442C7E">
      <w:pPr>
        <w:numPr>
          <w:ilvl w:val="0"/>
          <w:numId w:val="3"/>
        </w:numPr>
        <w:pBdr>
          <w:top w:val="nil"/>
          <w:left w:val="nil"/>
          <w:bottom w:val="nil"/>
          <w:right w:val="nil"/>
          <w:between w:val="nil"/>
        </w:pBdr>
        <w:spacing w:after="0"/>
        <w:jc w:val="both"/>
      </w:pPr>
      <w:r>
        <w:rPr>
          <w:color w:val="000000"/>
        </w:rPr>
        <w:t xml:space="preserve"> Capacité à travailler de manière autonome et à produire des rapports de qualité dans les délais impartis.</w:t>
      </w:r>
    </w:p>
    <w:p w14:paraId="6223FF34" w14:textId="77777777" w:rsidR="00C133BC" w:rsidRDefault="00442C7E">
      <w:pPr>
        <w:numPr>
          <w:ilvl w:val="0"/>
          <w:numId w:val="3"/>
        </w:numPr>
        <w:pBdr>
          <w:top w:val="nil"/>
          <w:left w:val="nil"/>
          <w:bottom w:val="nil"/>
          <w:right w:val="nil"/>
          <w:between w:val="nil"/>
        </w:pBdr>
        <w:jc w:val="both"/>
      </w:pPr>
      <w:r>
        <w:rPr>
          <w:color w:val="000000"/>
        </w:rPr>
        <w:t>Maîtrise du Français et/ou Créole Haïtien : Excellente maîtrise du français et/ou du créole haïtien tant à l'écrit qu'à l'oral. La connaissance de l'anglais est un atout.</w:t>
      </w:r>
    </w:p>
    <w:p w14:paraId="6223FF35" w14:textId="77777777" w:rsidR="00C133BC" w:rsidRDefault="00442C7E">
      <w:pPr>
        <w:pStyle w:val="Heading1"/>
        <w:numPr>
          <w:ilvl w:val="0"/>
          <w:numId w:val="5"/>
        </w:numPr>
      </w:pPr>
      <w:bookmarkStart w:id="24" w:name="_heading=h.3whwml4" w:colFirst="0" w:colLast="0"/>
      <w:bookmarkEnd w:id="24"/>
      <w:r>
        <w:t>Modalités de Soumission</w:t>
      </w:r>
    </w:p>
    <w:p w14:paraId="6223FF36" w14:textId="77777777" w:rsidR="00C133BC" w:rsidRDefault="00442C7E">
      <w:pPr>
        <w:jc w:val="both"/>
      </w:pPr>
      <w:r>
        <w:t>Les candidats intéressés doivent soumettre :</w:t>
      </w:r>
    </w:p>
    <w:p w14:paraId="6223FF37" w14:textId="77777777" w:rsidR="00C133BC" w:rsidRDefault="00442C7E">
      <w:pPr>
        <w:jc w:val="both"/>
      </w:pPr>
      <w:r>
        <w:t xml:space="preserve">a)  une proposition technique comprenant tout au moins : </w:t>
      </w:r>
    </w:p>
    <w:p w14:paraId="6223FF38" w14:textId="77777777" w:rsidR="00C133BC" w:rsidRDefault="00442C7E">
      <w:pPr>
        <w:numPr>
          <w:ilvl w:val="1"/>
          <w:numId w:val="1"/>
        </w:numPr>
        <w:pBdr>
          <w:top w:val="nil"/>
          <w:left w:val="nil"/>
          <w:bottom w:val="nil"/>
          <w:right w:val="nil"/>
          <w:between w:val="nil"/>
        </w:pBdr>
        <w:spacing w:after="0"/>
        <w:jc w:val="both"/>
      </w:pPr>
      <w:r>
        <w:rPr>
          <w:color w:val="000000"/>
        </w:rPr>
        <w:t>Leur compréhension du mandat assigné ;</w:t>
      </w:r>
    </w:p>
    <w:p w14:paraId="6223FF39" w14:textId="77777777" w:rsidR="00C133BC" w:rsidRDefault="00442C7E">
      <w:pPr>
        <w:numPr>
          <w:ilvl w:val="1"/>
          <w:numId w:val="1"/>
        </w:numPr>
        <w:pBdr>
          <w:top w:val="nil"/>
          <w:left w:val="nil"/>
          <w:bottom w:val="nil"/>
          <w:right w:val="nil"/>
          <w:between w:val="nil"/>
        </w:pBdr>
        <w:spacing w:after="0"/>
        <w:jc w:val="both"/>
      </w:pPr>
      <w:r>
        <w:rPr>
          <w:color w:val="000000"/>
        </w:rPr>
        <w:t xml:space="preserve">L’approche méthodologique qui sera </w:t>
      </w:r>
      <w:proofErr w:type="gramStart"/>
      <w:r>
        <w:rPr>
          <w:color w:val="000000"/>
        </w:rPr>
        <w:t>utilisée;</w:t>
      </w:r>
      <w:proofErr w:type="gramEnd"/>
      <w:r>
        <w:rPr>
          <w:color w:val="000000"/>
        </w:rPr>
        <w:t xml:space="preserve">  </w:t>
      </w:r>
    </w:p>
    <w:p w14:paraId="6223FF3A" w14:textId="77777777" w:rsidR="00C133BC" w:rsidRDefault="00442C7E">
      <w:pPr>
        <w:numPr>
          <w:ilvl w:val="1"/>
          <w:numId w:val="1"/>
        </w:numPr>
        <w:pBdr>
          <w:top w:val="nil"/>
          <w:left w:val="nil"/>
          <w:bottom w:val="nil"/>
          <w:right w:val="nil"/>
          <w:between w:val="nil"/>
        </w:pBdr>
        <w:jc w:val="both"/>
      </w:pPr>
      <w:r>
        <w:rPr>
          <w:color w:val="000000"/>
        </w:rPr>
        <w:t>Un calendrier pour la réalisation du travail.</w:t>
      </w:r>
    </w:p>
    <w:p w14:paraId="6223FF3B" w14:textId="77777777" w:rsidR="00C133BC" w:rsidRDefault="00442C7E">
      <w:pPr>
        <w:jc w:val="both"/>
      </w:pPr>
      <w:r>
        <w:t>b) Une proposition financière comprenant :</w:t>
      </w:r>
    </w:p>
    <w:p w14:paraId="6223FF3C" w14:textId="77777777" w:rsidR="00C133BC" w:rsidRDefault="00442C7E">
      <w:pPr>
        <w:numPr>
          <w:ilvl w:val="0"/>
          <w:numId w:val="6"/>
        </w:numPr>
        <w:pBdr>
          <w:top w:val="nil"/>
          <w:left w:val="nil"/>
          <w:bottom w:val="nil"/>
          <w:right w:val="nil"/>
          <w:between w:val="nil"/>
        </w:pBdr>
        <w:jc w:val="both"/>
      </w:pPr>
      <w:r>
        <w:rPr>
          <w:color w:val="000000"/>
        </w:rPr>
        <w:t xml:space="preserve">Un budget prévisionnel détaillé. </w:t>
      </w:r>
    </w:p>
    <w:p w14:paraId="6223FF3D" w14:textId="77777777" w:rsidR="00C133BC" w:rsidRDefault="00442C7E">
      <w:pPr>
        <w:jc w:val="both"/>
        <w:rPr>
          <w:rFonts w:ascii="Gill Sans" w:eastAsia="Gill Sans" w:hAnsi="Gill Sans" w:cs="Gill Sans"/>
        </w:rPr>
      </w:pPr>
      <w:r>
        <w:t>Les propositions seront évaluées en fonction de leur pertinence, de l'expertise du ou des consultants clés et du rapport qualité-prix. De manière global, les dossiers de l'offre doivent être soumis en version électronique avec une police 12 en caractères time New Roman comprenant</w:t>
      </w:r>
      <w:r>
        <w:rPr>
          <w:rFonts w:ascii="Gill Sans" w:eastAsia="Gill Sans" w:hAnsi="Gill Sans" w:cs="Gill Sans"/>
        </w:rPr>
        <w:t xml:space="preserve"> les documents suivants :</w:t>
      </w:r>
    </w:p>
    <w:p w14:paraId="6223FF3E" w14:textId="77777777" w:rsidR="00C133BC" w:rsidRDefault="00442C7E">
      <w:pPr>
        <w:numPr>
          <w:ilvl w:val="0"/>
          <w:numId w:val="4"/>
        </w:numPr>
        <w:pBdr>
          <w:top w:val="nil"/>
          <w:left w:val="nil"/>
          <w:bottom w:val="nil"/>
          <w:right w:val="nil"/>
          <w:between w:val="nil"/>
        </w:pBdr>
        <w:spacing w:after="0"/>
        <w:jc w:val="both"/>
        <w:rPr>
          <w:rFonts w:ascii="Gill Sans" w:eastAsia="Gill Sans" w:hAnsi="Gill Sans" w:cs="Gill Sans"/>
          <w:color w:val="000000"/>
        </w:rPr>
      </w:pPr>
      <w:r>
        <w:rPr>
          <w:rFonts w:ascii="Gill Sans" w:eastAsia="Gill Sans" w:hAnsi="Gill Sans" w:cs="Gill Sans"/>
          <w:color w:val="000000"/>
        </w:rPr>
        <w:t>Un texte présentant la compréhension de la mission ;</w:t>
      </w:r>
    </w:p>
    <w:p w14:paraId="6223FF3F" w14:textId="77777777" w:rsidR="00C133BC" w:rsidRDefault="00442C7E">
      <w:pPr>
        <w:numPr>
          <w:ilvl w:val="0"/>
          <w:numId w:val="4"/>
        </w:numPr>
        <w:pBdr>
          <w:top w:val="nil"/>
          <w:left w:val="nil"/>
          <w:bottom w:val="nil"/>
          <w:right w:val="nil"/>
          <w:between w:val="nil"/>
        </w:pBdr>
        <w:spacing w:after="0"/>
        <w:jc w:val="both"/>
        <w:rPr>
          <w:rFonts w:ascii="Gill Sans" w:eastAsia="Gill Sans" w:hAnsi="Gill Sans" w:cs="Gill Sans"/>
          <w:color w:val="000000"/>
        </w:rPr>
      </w:pPr>
      <w:r>
        <w:rPr>
          <w:rFonts w:ascii="Gill Sans" w:eastAsia="Gill Sans" w:hAnsi="Gill Sans" w:cs="Gill Sans"/>
          <w:color w:val="000000"/>
        </w:rPr>
        <w:t xml:space="preserve">Une description de la méthodologie proposée incluant les matériels </w:t>
      </w:r>
      <w:r>
        <w:rPr>
          <w:color w:val="000000"/>
        </w:rPr>
        <w:t>nécessaires et un calendrier ;</w:t>
      </w:r>
    </w:p>
    <w:p w14:paraId="6223FF40" w14:textId="77777777" w:rsidR="00C133BC" w:rsidRDefault="00442C7E">
      <w:pPr>
        <w:numPr>
          <w:ilvl w:val="0"/>
          <w:numId w:val="4"/>
        </w:numPr>
        <w:pBdr>
          <w:top w:val="nil"/>
          <w:left w:val="nil"/>
          <w:bottom w:val="nil"/>
          <w:right w:val="nil"/>
          <w:between w:val="nil"/>
        </w:pBdr>
        <w:spacing w:after="0"/>
        <w:jc w:val="both"/>
        <w:rPr>
          <w:rFonts w:ascii="Gill Sans" w:eastAsia="Gill Sans" w:hAnsi="Gill Sans" w:cs="Gill Sans"/>
          <w:color w:val="000000"/>
        </w:rPr>
      </w:pPr>
      <w:r>
        <w:rPr>
          <w:rFonts w:ascii="Gill Sans" w:eastAsia="Gill Sans" w:hAnsi="Gill Sans" w:cs="Gill Sans"/>
          <w:color w:val="000000"/>
        </w:rPr>
        <w:t>Curriculum vitae du consultant pour la réalisation du travail ;</w:t>
      </w:r>
    </w:p>
    <w:p w14:paraId="6223FF41" w14:textId="77777777" w:rsidR="00C133BC" w:rsidRDefault="00442C7E">
      <w:pPr>
        <w:numPr>
          <w:ilvl w:val="0"/>
          <w:numId w:val="4"/>
        </w:numPr>
        <w:pBdr>
          <w:top w:val="nil"/>
          <w:left w:val="nil"/>
          <w:bottom w:val="nil"/>
          <w:right w:val="nil"/>
          <w:between w:val="nil"/>
        </w:pBdr>
        <w:spacing w:after="0"/>
        <w:jc w:val="both"/>
      </w:pPr>
      <w:r>
        <w:rPr>
          <w:rFonts w:ascii="Gill Sans" w:eastAsia="Gill Sans" w:hAnsi="Gill Sans" w:cs="Gill Sans"/>
          <w:color w:val="000000"/>
        </w:rPr>
        <w:t>Preuves des diplômes ou attestations obtenues par le consultant ;</w:t>
      </w:r>
      <w:r>
        <w:rPr>
          <w:color w:val="000000"/>
        </w:rPr>
        <w:t xml:space="preserve"> </w:t>
      </w:r>
    </w:p>
    <w:p w14:paraId="6223FF42" w14:textId="77777777" w:rsidR="00C133BC" w:rsidRDefault="00442C7E">
      <w:pPr>
        <w:numPr>
          <w:ilvl w:val="0"/>
          <w:numId w:val="4"/>
        </w:numPr>
        <w:pBdr>
          <w:top w:val="nil"/>
          <w:left w:val="nil"/>
          <w:bottom w:val="nil"/>
          <w:right w:val="nil"/>
          <w:between w:val="nil"/>
        </w:pBdr>
        <w:spacing w:after="0"/>
        <w:jc w:val="both"/>
        <w:rPr>
          <w:rFonts w:ascii="Gill Sans" w:eastAsia="Gill Sans" w:hAnsi="Gill Sans" w:cs="Gill Sans"/>
          <w:color w:val="000000"/>
        </w:rPr>
      </w:pPr>
      <w:r>
        <w:rPr>
          <w:color w:val="000000"/>
        </w:rPr>
        <w:t>Références pour des consultations réalisées en lien avec cette mission et preuves des services</w:t>
      </w:r>
      <w:r>
        <w:rPr>
          <w:rFonts w:ascii="Gill Sans" w:eastAsia="Gill Sans" w:hAnsi="Gill Sans" w:cs="Gill Sans"/>
          <w:color w:val="000000"/>
        </w:rPr>
        <w:t xml:space="preserve">, contrats ou d’autres expériences réussies dans les domaines identiques par les experts clés ; </w:t>
      </w:r>
    </w:p>
    <w:p w14:paraId="6223FF43" w14:textId="77777777" w:rsidR="00C133BC" w:rsidRDefault="00442C7E">
      <w:pPr>
        <w:numPr>
          <w:ilvl w:val="0"/>
          <w:numId w:val="4"/>
        </w:numPr>
        <w:pBdr>
          <w:top w:val="nil"/>
          <w:left w:val="nil"/>
          <w:bottom w:val="nil"/>
          <w:right w:val="nil"/>
          <w:between w:val="nil"/>
        </w:pBdr>
        <w:spacing w:after="0"/>
        <w:jc w:val="both"/>
        <w:rPr>
          <w:rFonts w:ascii="Gill Sans" w:eastAsia="Gill Sans" w:hAnsi="Gill Sans" w:cs="Gill Sans"/>
          <w:color w:val="000000"/>
        </w:rPr>
      </w:pPr>
      <w:r>
        <w:rPr>
          <w:rFonts w:ascii="Gill Sans" w:eastAsia="Gill Sans" w:hAnsi="Gill Sans" w:cs="Gill Sans"/>
          <w:color w:val="000000"/>
        </w:rPr>
        <w:t xml:space="preserve">La proposition d’un budget détaillé pour la réalisation de l’étude ; </w:t>
      </w:r>
    </w:p>
    <w:p w14:paraId="6223FF44" w14:textId="77777777" w:rsidR="00C133BC" w:rsidRDefault="00442C7E">
      <w:pPr>
        <w:numPr>
          <w:ilvl w:val="0"/>
          <w:numId w:val="4"/>
        </w:numPr>
        <w:pBdr>
          <w:top w:val="nil"/>
          <w:left w:val="nil"/>
          <w:bottom w:val="nil"/>
          <w:right w:val="nil"/>
          <w:between w:val="nil"/>
        </w:pBdr>
        <w:jc w:val="both"/>
      </w:pPr>
      <w:r>
        <w:rPr>
          <w:color w:val="000000"/>
        </w:rPr>
        <w:t>Les documents juridiques et administratifs (patente et/ou quitus, registre du Ministère du Commerce, carte d'identité fiscale) dans les cas requis où ils sont requis.</w:t>
      </w:r>
    </w:p>
    <w:p w14:paraId="7B78A3B6" w14:textId="77777777" w:rsidR="000A4B0F" w:rsidRDefault="000A4B0F">
      <w:pPr>
        <w:rPr>
          <w:rFonts w:ascii="Gill Sans" w:eastAsia="Gill Sans" w:hAnsi="Gill Sans" w:cs="Gill Sans"/>
          <w:color w:val="000000"/>
        </w:rPr>
      </w:pPr>
      <w:r>
        <w:rPr>
          <w:rFonts w:ascii="Gill Sans" w:eastAsia="Gill Sans" w:hAnsi="Gill Sans" w:cs="Gill Sans"/>
          <w:color w:val="000000"/>
        </w:rPr>
        <w:br w:type="page"/>
      </w:r>
    </w:p>
    <w:p w14:paraId="6223FF45" w14:textId="3C289212" w:rsidR="00C133BC" w:rsidRDefault="00442C7E">
      <w:pPr>
        <w:pBdr>
          <w:top w:val="nil"/>
          <w:left w:val="nil"/>
          <w:bottom w:val="nil"/>
          <w:right w:val="nil"/>
          <w:between w:val="nil"/>
        </w:pBdr>
        <w:spacing w:after="0" w:line="240" w:lineRule="auto"/>
        <w:jc w:val="both"/>
        <w:rPr>
          <w:rFonts w:ascii="Gill Sans" w:eastAsia="Gill Sans" w:hAnsi="Gill Sans" w:cs="Gill Sans"/>
          <w:color w:val="000000"/>
        </w:rPr>
      </w:pPr>
      <w:r>
        <w:rPr>
          <w:rFonts w:ascii="Gill Sans" w:eastAsia="Gill Sans" w:hAnsi="Gill Sans" w:cs="Gill Sans"/>
          <w:color w:val="000000"/>
        </w:rPr>
        <w:lastRenderedPageBreak/>
        <w:t xml:space="preserve">Les propositions des consultants seront évaluées suivant les critères ci-dessous : </w:t>
      </w:r>
    </w:p>
    <w:p w14:paraId="6223FF46" w14:textId="77777777" w:rsidR="00C133BC" w:rsidRDefault="00C133BC">
      <w:pPr>
        <w:pBdr>
          <w:top w:val="nil"/>
          <w:left w:val="nil"/>
          <w:bottom w:val="nil"/>
          <w:right w:val="nil"/>
          <w:between w:val="nil"/>
        </w:pBdr>
        <w:spacing w:after="0" w:line="240" w:lineRule="auto"/>
        <w:jc w:val="both"/>
        <w:rPr>
          <w:rFonts w:ascii="Gill Sans" w:eastAsia="Gill Sans" w:hAnsi="Gill Sans" w:cs="Gill Sans"/>
          <w:color w:val="000000"/>
        </w:rPr>
      </w:pPr>
    </w:p>
    <w:tbl>
      <w:tblPr>
        <w:tblStyle w:val="a0"/>
        <w:tblW w:w="9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85"/>
        <w:gridCol w:w="1240"/>
        <w:gridCol w:w="1170"/>
        <w:gridCol w:w="1080"/>
      </w:tblGrid>
      <w:tr w:rsidR="00C133BC" w14:paraId="6223FF4C" w14:textId="77777777" w:rsidTr="006E1A36">
        <w:tc>
          <w:tcPr>
            <w:tcW w:w="5685" w:type="dxa"/>
          </w:tcPr>
          <w:p w14:paraId="6223FF47" w14:textId="77777777" w:rsidR="00C133BC" w:rsidRDefault="00442C7E">
            <w:pPr>
              <w:pBdr>
                <w:top w:val="nil"/>
                <w:left w:val="nil"/>
                <w:bottom w:val="nil"/>
                <w:right w:val="nil"/>
                <w:between w:val="nil"/>
              </w:pBdr>
              <w:jc w:val="both"/>
              <w:rPr>
                <w:rFonts w:ascii="Gill Sans" w:eastAsia="Gill Sans" w:hAnsi="Gill Sans" w:cs="Gill Sans"/>
                <w:b/>
                <w:color w:val="000000"/>
                <w:sz w:val="20"/>
                <w:szCs w:val="20"/>
              </w:rPr>
            </w:pPr>
            <w:r>
              <w:rPr>
                <w:rFonts w:ascii="Gill Sans" w:eastAsia="Gill Sans" w:hAnsi="Gill Sans" w:cs="Gill Sans"/>
                <w:b/>
                <w:color w:val="000000"/>
                <w:sz w:val="20"/>
                <w:szCs w:val="20"/>
              </w:rPr>
              <w:t>Critères</w:t>
            </w:r>
          </w:p>
        </w:tc>
        <w:tc>
          <w:tcPr>
            <w:tcW w:w="1240" w:type="dxa"/>
          </w:tcPr>
          <w:p w14:paraId="6223FF48" w14:textId="77777777" w:rsidR="00C133BC" w:rsidRDefault="00442C7E">
            <w:pPr>
              <w:pBdr>
                <w:top w:val="nil"/>
                <w:left w:val="nil"/>
                <w:bottom w:val="nil"/>
                <w:right w:val="nil"/>
                <w:between w:val="nil"/>
              </w:pBdr>
              <w:jc w:val="both"/>
              <w:rPr>
                <w:rFonts w:ascii="Gill Sans" w:eastAsia="Gill Sans" w:hAnsi="Gill Sans" w:cs="Gill Sans"/>
                <w:b/>
                <w:color w:val="000000"/>
                <w:sz w:val="20"/>
                <w:szCs w:val="20"/>
              </w:rPr>
            </w:pPr>
            <w:r>
              <w:rPr>
                <w:rFonts w:ascii="Gill Sans" w:eastAsia="Gill Sans" w:hAnsi="Gill Sans" w:cs="Gill Sans"/>
                <w:b/>
                <w:color w:val="000000"/>
                <w:sz w:val="20"/>
                <w:szCs w:val="20"/>
              </w:rPr>
              <w:t>Note maximale</w:t>
            </w:r>
          </w:p>
        </w:tc>
        <w:tc>
          <w:tcPr>
            <w:tcW w:w="1170" w:type="dxa"/>
          </w:tcPr>
          <w:p w14:paraId="6223FF49" w14:textId="77777777" w:rsidR="00C133BC" w:rsidRDefault="00442C7E">
            <w:pPr>
              <w:pBdr>
                <w:top w:val="nil"/>
                <w:left w:val="nil"/>
                <w:bottom w:val="nil"/>
                <w:right w:val="nil"/>
                <w:between w:val="nil"/>
              </w:pBdr>
              <w:rPr>
                <w:rFonts w:ascii="Gill Sans" w:eastAsia="Gill Sans" w:hAnsi="Gill Sans" w:cs="Gill Sans"/>
                <w:b/>
                <w:color w:val="000000"/>
                <w:sz w:val="20"/>
                <w:szCs w:val="20"/>
              </w:rPr>
            </w:pPr>
            <w:r>
              <w:rPr>
                <w:rFonts w:ascii="Gill Sans" w:eastAsia="Gill Sans" w:hAnsi="Gill Sans" w:cs="Gill Sans"/>
                <w:b/>
                <w:color w:val="000000"/>
                <w:sz w:val="20"/>
                <w:szCs w:val="20"/>
              </w:rPr>
              <w:t xml:space="preserve"> Consultant</w:t>
            </w:r>
          </w:p>
        </w:tc>
        <w:tc>
          <w:tcPr>
            <w:tcW w:w="1080" w:type="dxa"/>
            <w:vAlign w:val="bottom"/>
          </w:tcPr>
          <w:p w14:paraId="6223FF4A" w14:textId="77777777" w:rsidR="00C133BC" w:rsidRDefault="00442C7E">
            <w:pPr>
              <w:pBdr>
                <w:top w:val="nil"/>
                <w:left w:val="nil"/>
                <w:bottom w:val="nil"/>
                <w:right w:val="nil"/>
                <w:between w:val="nil"/>
              </w:pBdr>
              <w:rPr>
                <w:rFonts w:ascii="Gill Sans" w:eastAsia="Gill Sans" w:hAnsi="Gill Sans" w:cs="Gill Sans"/>
                <w:b/>
                <w:color w:val="000000"/>
                <w:sz w:val="20"/>
                <w:szCs w:val="20"/>
              </w:rPr>
            </w:pPr>
            <w:r>
              <w:rPr>
                <w:rFonts w:ascii="Gill Sans" w:eastAsia="Gill Sans" w:hAnsi="Gill Sans" w:cs="Gill Sans"/>
                <w:b/>
                <w:color w:val="000000"/>
                <w:sz w:val="20"/>
                <w:szCs w:val="20"/>
              </w:rPr>
              <w:t xml:space="preserve">Cumulatif </w:t>
            </w:r>
          </w:p>
          <w:p w14:paraId="6223FF4B" w14:textId="77777777" w:rsidR="00C133BC" w:rsidRDefault="00C133BC">
            <w:pPr>
              <w:pBdr>
                <w:top w:val="nil"/>
                <w:left w:val="nil"/>
                <w:bottom w:val="nil"/>
                <w:right w:val="nil"/>
                <w:between w:val="nil"/>
              </w:pBdr>
              <w:rPr>
                <w:rFonts w:ascii="Gill Sans" w:eastAsia="Gill Sans" w:hAnsi="Gill Sans" w:cs="Gill Sans"/>
                <w:b/>
                <w:color w:val="000000"/>
                <w:sz w:val="20"/>
                <w:szCs w:val="20"/>
              </w:rPr>
            </w:pPr>
          </w:p>
        </w:tc>
      </w:tr>
      <w:tr w:rsidR="00C133BC" w14:paraId="6223FF52" w14:textId="77777777" w:rsidTr="006E1A36">
        <w:tc>
          <w:tcPr>
            <w:tcW w:w="5685" w:type="dxa"/>
          </w:tcPr>
          <w:p w14:paraId="6223FF4D" w14:textId="77777777" w:rsidR="00C133BC" w:rsidRDefault="00442C7E">
            <w:pPr>
              <w:pBdr>
                <w:top w:val="nil"/>
                <w:left w:val="nil"/>
                <w:bottom w:val="nil"/>
                <w:right w:val="nil"/>
                <w:between w:val="nil"/>
              </w:pBdr>
              <w:jc w:val="both"/>
              <w:rPr>
                <w:rFonts w:ascii="Gill Sans" w:eastAsia="Gill Sans" w:hAnsi="Gill Sans" w:cs="Gill Sans"/>
                <w:color w:val="000000"/>
                <w:sz w:val="20"/>
                <w:szCs w:val="20"/>
              </w:rPr>
            </w:pPr>
            <w:r>
              <w:rPr>
                <w:rFonts w:ascii="Gill Sans" w:eastAsia="Gill Sans" w:hAnsi="Gill Sans" w:cs="Gill Sans"/>
                <w:color w:val="000000"/>
                <w:sz w:val="20"/>
                <w:szCs w:val="20"/>
              </w:rPr>
              <w:t xml:space="preserve">Expérience du/de la </w:t>
            </w:r>
            <w:proofErr w:type="spellStart"/>
            <w:r>
              <w:rPr>
                <w:rFonts w:ascii="Gill Sans" w:eastAsia="Gill Sans" w:hAnsi="Gill Sans" w:cs="Gill Sans"/>
                <w:color w:val="000000"/>
                <w:sz w:val="20"/>
                <w:szCs w:val="20"/>
              </w:rPr>
              <w:t>consultant-e</w:t>
            </w:r>
            <w:proofErr w:type="spellEnd"/>
            <w:r>
              <w:rPr>
                <w:rFonts w:ascii="Gill Sans" w:eastAsia="Gill Sans" w:hAnsi="Gill Sans" w:cs="Gill Sans"/>
                <w:color w:val="000000"/>
                <w:sz w:val="20"/>
                <w:szCs w:val="20"/>
              </w:rPr>
              <w:t xml:space="preserve"> (Nombre d'années) dans l'exécution de mandat similaire</w:t>
            </w:r>
          </w:p>
        </w:tc>
        <w:tc>
          <w:tcPr>
            <w:tcW w:w="1240" w:type="dxa"/>
          </w:tcPr>
          <w:p w14:paraId="6223FF4E" w14:textId="77777777" w:rsidR="00C133BC" w:rsidRDefault="00442C7E">
            <w:pPr>
              <w:pBdr>
                <w:top w:val="nil"/>
                <w:left w:val="nil"/>
                <w:bottom w:val="nil"/>
                <w:right w:val="nil"/>
                <w:between w:val="nil"/>
              </w:pBdr>
              <w:jc w:val="both"/>
              <w:rPr>
                <w:rFonts w:ascii="Gill Sans" w:eastAsia="Gill Sans" w:hAnsi="Gill Sans" w:cs="Gill Sans"/>
                <w:color w:val="000000"/>
                <w:sz w:val="20"/>
                <w:szCs w:val="20"/>
              </w:rPr>
            </w:pPr>
            <w:r>
              <w:rPr>
                <w:rFonts w:ascii="Gill Sans" w:eastAsia="Gill Sans" w:hAnsi="Gill Sans" w:cs="Gill Sans"/>
                <w:color w:val="000000"/>
                <w:sz w:val="20"/>
                <w:szCs w:val="20"/>
              </w:rPr>
              <w:t>25</w:t>
            </w:r>
          </w:p>
          <w:p w14:paraId="6223FF4F" w14:textId="77777777" w:rsidR="00C133BC" w:rsidRDefault="00C133BC">
            <w:pPr>
              <w:pBdr>
                <w:top w:val="nil"/>
                <w:left w:val="nil"/>
                <w:bottom w:val="nil"/>
                <w:right w:val="nil"/>
                <w:between w:val="nil"/>
              </w:pBdr>
              <w:jc w:val="both"/>
              <w:rPr>
                <w:rFonts w:ascii="Gill Sans" w:eastAsia="Gill Sans" w:hAnsi="Gill Sans" w:cs="Gill Sans"/>
                <w:color w:val="000000"/>
                <w:sz w:val="20"/>
                <w:szCs w:val="20"/>
              </w:rPr>
            </w:pPr>
          </w:p>
        </w:tc>
        <w:tc>
          <w:tcPr>
            <w:tcW w:w="1170" w:type="dxa"/>
          </w:tcPr>
          <w:p w14:paraId="6223FF50" w14:textId="77777777" w:rsidR="00C133BC" w:rsidRDefault="00C133BC">
            <w:pPr>
              <w:pBdr>
                <w:top w:val="nil"/>
                <w:left w:val="nil"/>
                <w:bottom w:val="nil"/>
                <w:right w:val="nil"/>
                <w:between w:val="nil"/>
              </w:pBdr>
              <w:jc w:val="both"/>
              <w:rPr>
                <w:rFonts w:ascii="Gill Sans" w:eastAsia="Gill Sans" w:hAnsi="Gill Sans" w:cs="Gill Sans"/>
                <w:color w:val="000000"/>
                <w:sz w:val="20"/>
                <w:szCs w:val="20"/>
              </w:rPr>
            </w:pPr>
          </w:p>
        </w:tc>
        <w:tc>
          <w:tcPr>
            <w:tcW w:w="1080" w:type="dxa"/>
          </w:tcPr>
          <w:p w14:paraId="6223FF51" w14:textId="77777777" w:rsidR="00C133BC" w:rsidRDefault="00C133BC">
            <w:pPr>
              <w:pBdr>
                <w:top w:val="nil"/>
                <w:left w:val="nil"/>
                <w:bottom w:val="nil"/>
                <w:right w:val="nil"/>
                <w:between w:val="nil"/>
              </w:pBdr>
              <w:jc w:val="both"/>
              <w:rPr>
                <w:rFonts w:ascii="Gill Sans" w:eastAsia="Gill Sans" w:hAnsi="Gill Sans" w:cs="Gill Sans"/>
                <w:color w:val="000000"/>
                <w:sz w:val="20"/>
                <w:szCs w:val="20"/>
              </w:rPr>
            </w:pPr>
          </w:p>
        </w:tc>
      </w:tr>
      <w:tr w:rsidR="00C133BC" w14:paraId="6223FF57" w14:textId="77777777" w:rsidTr="006E1A36">
        <w:tc>
          <w:tcPr>
            <w:tcW w:w="5685" w:type="dxa"/>
          </w:tcPr>
          <w:p w14:paraId="6223FF53" w14:textId="77777777" w:rsidR="00C133BC" w:rsidRDefault="00442C7E">
            <w:pPr>
              <w:pBdr>
                <w:top w:val="nil"/>
                <w:left w:val="nil"/>
                <w:bottom w:val="nil"/>
                <w:right w:val="nil"/>
                <w:between w:val="nil"/>
              </w:pBdr>
              <w:jc w:val="both"/>
              <w:rPr>
                <w:rFonts w:ascii="Gill Sans" w:eastAsia="Gill Sans" w:hAnsi="Gill Sans" w:cs="Gill Sans"/>
                <w:color w:val="000000"/>
                <w:sz w:val="20"/>
                <w:szCs w:val="20"/>
              </w:rPr>
            </w:pPr>
            <w:r>
              <w:rPr>
                <w:rFonts w:ascii="Gill Sans" w:eastAsia="Gill Sans" w:hAnsi="Gill Sans" w:cs="Gill Sans"/>
                <w:color w:val="000000"/>
                <w:sz w:val="20"/>
                <w:szCs w:val="20"/>
              </w:rPr>
              <w:t xml:space="preserve">Méthodologie claire et adéquation de la méthodologie proposée par rapport aux objectifs visés dans les TDRs </w:t>
            </w:r>
          </w:p>
        </w:tc>
        <w:tc>
          <w:tcPr>
            <w:tcW w:w="1240" w:type="dxa"/>
          </w:tcPr>
          <w:p w14:paraId="6223FF54" w14:textId="77777777" w:rsidR="00C133BC" w:rsidRDefault="00442C7E">
            <w:pPr>
              <w:pBdr>
                <w:top w:val="nil"/>
                <w:left w:val="nil"/>
                <w:bottom w:val="nil"/>
                <w:right w:val="nil"/>
                <w:between w:val="nil"/>
              </w:pBdr>
              <w:jc w:val="both"/>
              <w:rPr>
                <w:rFonts w:ascii="Gill Sans" w:eastAsia="Gill Sans" w:hAnsi="Gill Sans" w:cs="Gill Sans"/>
                <w:color w:val="000000"/>
                <w:sz w:val="20"/>
                <w:szCs w:val="20"/>
              </w:rPr>
            </w:pPr>
            <w:r>
              <w:rPr>
                <w:rFonts w:ascii="Gill Sans" w:eastAsia="Gill Sans" w:hAnsi="Gill Sans" w:cs="Gill Sans"/>
                <w:color w:val="000000"/>
                <w:sz w:val="20"/>
                <w:szCs w:val="20"/>
              </w:rPr>
              <w:t xml:space="preserve">25 </w:t>
            </w:r>
          </w:p>
        </w:tc>
        <w:tc>
          <w:tcPr>
            <w:tcW w:w="1170" w:type="dxa"/>
          </w:tcPr>
          <w:p w14:paraId="6223FF55" w14:textId="77777777" w:rsidR="00C133BC" w:rsidRDefault="00C133BC">
            <w:pPr>
              <w:pBdr>
                <w:top w:val="nil"/>
                <w:left w:val="nil"/>
                <w:bottom w:val="nil"/>
                <w:right w:val="nil"/>
                <w:between w:val="nil"/>
              </w:pBdr>
              <w:jc w:val="both"/>
              <w:rPr>
                <w:rFonts w:ascii="Gill Sans" w:eastAsia="Gill Sans" w:hAnsi="Gill Sans" w:cs="Gill Sans"/>
                <w:color w:val="000000"/>
                <w:sz w:val="20"/>
                <w:szCs w:val="20"/>
              </w:rPr>
            </w:pPr>
          </w:p>
        </w:tc>
        <w:tc>
          <w:tcPr>
            <w:tcW w:w="1080" w:type="dxa"/>
          </w:tcPr>
          <w:p w14:paraId="6223FF56" w14:textId="77777777" w:rsidR="00C133BC" w:rsidRDefault="00C133BC">
            <w:pPr>
              <w:pBdr>
                <w:top w:val="nil"/>
                <w:left w:val="nil"/>
                <w:bottom w:val="nil"/>
                <w:right w:val="nil"/>
                <w:between w:val="nil"/>
              </w:pBdr>
              <w:jc w:val="both"/>
              <w:rPr>
                <w:rFonts w:ascii="Gill Sans" w:eastAsia="Gill Sans" w:hAnsi="Gill Sans" w:cs="Gill Sans"/>
                <w:color w:val="000000"/>
                <w:sz w:val="20"/>
                <w:szCs w:val="20"/>
              </w:rPr>
            </w:pPr>
          </w:p>
        </w:tc>
      </w:tr>
      <w:tr w:rsidR="00C133BC" w14:paraId="6223FF5C" w14:textId="77777777" w:rsidTr="006E1A36">
        <w:tc>
          <w:tcPr>
            <w:tcW w:w="5685" w:type="dxa"/>
          </w:tcPr>
          <w:p w14:paraId="6223FF58" w14:textId="77777777" w:rsidR="00C133BC" w:rsidRDefault="00442C7E">
            <w:pPr>
              <w:pBdr>
                <w:top w:val="nil"/>
                <w:left w:val="nil"/>
                <w:bottom w:val="nil"/>
                <w:right w:val="nil"/>
                <w:between w:val="nil"/>
              </w:pBdr>
              <w:jc w:val="both"/>
              <w:rPr>
                <w:rFonts w:ascii="Gill Sans" w:eastAsia="Gill Sans" w:hAnsi="Gill Sans" w:cs="Gill Sans"/>
                <w:color w:val="000000"/>
                <w:sz w:val="20"/>
                <w:szCs w:val="20"/>
              </w:rPr>
            </w:pPr>
            <w:r>
              <w:rPr>
                <w:rFonts w:ascii="Gill Sans" w:eastAsia="Gill Sans" w:hAnsi="Gill Sans" w:cs="Gill Sans"/>
                <w:color w:val="000000"/>
                <w:sz w:val="20"/>
                <w:szCs w:val="20"/>
              </w:rPr>
              <w:t>Niveau de formation du consultant</w:t>
            </w:r>
          </w:p>
        </w:tc>
        <w:tc>
          <w:tcPr>
            <w:tcW w:w="1240" w:type="dxa"/>
          </w:tcPr>
          <w:p w14:paraId="6223FF59" w14:textId="77777777" w:rsidR="00C133BC" w:rsidRDefault="00442C7E">
            <w:pPr>
              <w:pBdr>
                <w:top w:val="nil"/>
                <w:left w:val="nil"/>
                <w:bottom w:val="nil"/>
                <w:right w:val="nil"/>
                <w:between w:val="nil"/>
              </w:pBdr>
              <w:jc w:val="both"/>
              <w:rPr>
                <w:rFonts w:ascii="Gill Sans" w:eastAsia="Gill Sans" w:hAnsi="Gill Sans" w:cs="Gill Sans"/>
                <w:color w:val="000000"/>
                <w:sz w:val="20"/>
                <w:szCs w:val="20"/>
              </w:rPr>
            </w:pPr>
            <w:r>
              <w:rPr>
                <w:rFonts w:ascii="Gill Sans" w:eastAsia="Gill Sans" w:hAnsi="Gill Sans" w:cs="Gill Sans"/>
                <w:color w:val="000000"/>
                <w:sz w:val="20"/>
                <w:szCs w:val="20"/>
              </w:rPr>
              <w:t>15</w:t>
            </w:r>
          </w:p>
        </w:tc>
        <w:tc>
          <w:tcPr>
            <w:tcW w:w="1170" w:type="dxa"/>
          </w:tcPr>
          <w:p w14:paraId="6223FF5A" w14:textId="77777777" w:rsidR="00C133BC" w:rsidRDefault="00C133BC">
            <w:pPr>
              <w:pBdr>
                <w:top w:val="nil"/>
                <w:left w:val="nil"/>
                <w:bottom w:val="nil"/>
                <w:right w:val="nil"/>
                <w:between w:val="nil"/>
              </w:pBdr>
              <w:jc w:val="both"/>
              <w:rPr>
                <w:rFonts w:ascii="Gill Sans" w:eastAsia="Gill Sans" w:hAnsi="Gill Sans" w:cs="Gill Sans"/>
                <w:color w:val="000000"/>
                <w:sz w:val="20"/>
                <w:szCs w:val="20"/>
              </w:rPr>
            </w:pPr>
          </w:p>
        </w:tc>
        <w:tc>
          <w:tcPr>
            <w:tcW w:w="1080" w:type="dxa"/>
          </w:tcPr>
          <w:p w14:paraId="6223FF5B" w14:textId="77777777" w:rsidR="00C133BC" w:rsidRDefault="00C133BC">
            <w:pPr>
              <w:pBdr>
                <w:top w:val="nil"/>
                <w:left w:val="nil"/>
                <w:bottom w:val="nil"/>
                <w:right w:val="nil"/>
                <w:between w:val="nil"/>
              </w:pBdr>
              <w:jc w:val="both"/>
              <w:rPr>
                <w:rFonts w:ascii="Gill Sans" w:eastAsia="Gill Sans" w:hAnsi="Gill Sans" w:cs="Gill Sans"/>
                <w:color w:val="000000"/>
                <w:sz w:val="20"/>
                <w:szCs w:val="20"/>
              </w:rPr>
            </w:pPr>
          </w:p>
        </w:tc>
      </w:tr>
      <w:tr w:rsidR="00C133BC" w14:paraId="6223FF61" w14:textId="77777777" w:rsidTr="006E1A36">
        <w:trPr>
          <w:trHeight w:val="300"/>
        </w:trPr>
        <w:tc>
          <w:tcPr>
            <w:tcW w:w="5685" w:type="dxa"/>
          </w:tcPr>
          <w:p w14:paraId="6223FF5D" w14:textId="77777777" w:rsidR="00C133BC" w:rsidRDefault="00442C7E">
            <w:pPr>
              <w:pBdr>
                <w:top w:val="nil"/>
                <w:left w:val="nil"/>
                <w:bottom w:val="nil"/>
                <w:right w:val="nil"/>
                <w:between w:val="nil"/>
              </w:pBdr>
              <w:jc w:val="both"/>
              <w:rPr>
                <w:rFonts w:ascii="Gill Sans" w:eastAsia="Gill Sans" w:hAnsi="Gill Sans" w:cs="Gill Sans"/>
                <w:color w:val="000000"/>
                <w:sz w:val="20"/>
                <w:szCs w:val="20"/>
              </w:rPr>
            </w:pPr>
            <w:r>
              <w:rPr>
                <w:rFonts w:ascii="Gill Sans" w:eastAsia="Gill Sans" w:hAnsi="Gill Sans" w:cs="Gill Sans"/>
                <w:color w:val="000000"/>
                <w:sz w:val="20"/>
                <w:szCs w:val="20"/>
              </w:rPr>
              <w:t xml:space="preserve">Cout de l’offre et disponibilité du consultant </w:t>
            </w:r>
          </w:p>
        </w:tc>
        <w:tc>
          <w:tcPr>
            <w:tcW w:w="1240" w:type="dxa"/>
          </w:tcPr>
          <w:p w14:paraId="6223FF5E" w14:textId="77777777" w:rsidR="00C133BC" w:rsidRDefault="003F5873">
            <w:pPr>
              <w:pBdr>
                <w:top w:val="nil"/>
                <w:left w:val="nil"/>
                <w:bottom w:val="nil"/>
                <w:right w:val="nil"/>
                <w:between w:val="nil"/>
              </w:pBdr>
              <w:jc w:val="both"/>
              <w:rPr>
                <w:rFonts w:ascii="Gill Sans" w:eastAsia="Gill Sans" w:hAnsi="Gill Sans" w:cs="Gill Sans"/>
                <w:color w:val="000000"/>
                <w:sz w:val="20"/>
                <w:szCs w:val="20"/>
              </w:rPr>
            </w:pPr>
            <w:sdt>
              <w:sdtPr>
                <w:tag w:val="goog_rdk_12"/>
                <w:id w:val="-1694217585"/>
              </w:sdtPr>
              <w:sdtEndPr/>
              <w:sdtContent/>
            </w:sdt>
            <w:sdt>
              <w:sdtPr>
                <w:tag w:val="goog_rdk_13"/>
                <w:id w:val="-1519930768"/>
              </w:sdtPr>
              <w:sdtEndPr/>
              <w:sdtContent/>
            </w:sdt>
            <w:r w:rsidR="00442C7E">
              <w:rPr>
                <w:rFonts w:ascii="Gill Sans" w:eastAsia="Gill Sans" w:hAnsi="Gill Sans" w:cs="Gill Sans"/>
                <w:color w:val="000000"/>
                <w:sz w:val="20"/>
                <w:szCs w:val="20"/>
              </w:rPr>
              <w:t>35</w:t>
            </w:r>
          </w:p>
        </w:tc>
        <w:tc>
          <w:tcPr>
            <w:tcW w:w="1170" w:type="dxa"/>
          </w:tcPr>
          <w:p w14:paraId="6223FF5F" w14:textId="77777777" w:rsidR="00C133BC" w:rsidRDefault="00C133BC">
            <w:pPr>
              <w:pBdr>
                <w:top w:val="nil"/>
                <w:left w:val="nil"/>
                <w:bottom w:val="nil"/>
                <w:right w:val="nil"/>
                <w:between w:val="nil"/>
              </w:pBdr>
              <w:jc w:val="both"/>
              <w:rPr>
                <w:rFonts w:ascii="Gill Sans" w:eastAsia="Gill Sans" w:hAnsi="Gill Sans" w:cs="Gill Sans"/>
                <w:color w:val="000000"/>
                <w:sz w:val="20"/>
                <w:szCs w:val="20"/>
              </w:rPr>
            </w:pPr>
          </w:p>
        </w:tc>
        <w:tc>
          <w:tcPr>
            <w:tcW w:w="1080" w:type="dxa"/>
          </w:tcPr>
          <w:p w14:paraId="6223FF60" w14:textId="77777777" w:rsidR="00C133BC" w:rsidRDefault="00C133BC">
            <w:pPr>
              <w:pBdr>
                <w:top w:val="nil"/>
                <w:left w:val="nil"/>
                <w:bottom w:val="nil"/>
                <w:right w:val="nil"/>
                <w:between w:val="nil"/>
              </w:pBdr>
              <w:jc w:val="both"/>
              <w:rPr>
                <w:rFonts w:ascii="Gill Sans" w:eastAsia="Gill Sans" w:hAnsi="Gill Sans" w:cs="Gill Sans"/>
                <w:color w:val="000000"/>
                <w:sz w:val="20"/>
                <w:szCs w:val="20"/>
              </w:rPr>
            </w:pPr>
          </w:p>
        </w:tc>
      </w:tr>
      <w:tr w:rsidR="00C133BC" w14:paraId="6223FF66" w14:textId="77777777" w:rsidTr="006E1A36">
        <w:tc>
          <w:tcPr>
            <w:tcW w:w="5685" w:type="dxa"/>
          </w:tcPr>
          <w:p w14:paraId="6223FF62" w14:textId="77777777" w:rsidR="00C133BC" w:rsidRDefault="00442C7E">
            <w:pPr>
              <w:pBdr>
                <w:top w:val="nil"/>
                <w:left w:val="nil"/>
                <w:bottom w:val="nil"/>
                <w:right w:val="nil"/>
                <w:between w:val="nil"/>
              </w:pBdr>
              <w:jc w:val="both"/>
              <w:rPr>
                <w:rFonts w:ascii="Gill Sans" w:eastAsia="Gill Sans" w:hAnsi="Gill Sans" w:cs="Gill Sans"/>
                <w:b/>
                <w:color w:val="000000"/>
                <w:sz w:val="20"/>
                <w:szCs w:val="20"/>
              </w:rPr>
            </w:pPr>
            <w:r>
              <w:rPr>
                <w:rFonts w:ascii="Gill Sans" w:eastAsia="Gill Sans" w:hAnsi="Gill Sans" w:cs="Gill Sans"/>
                <w:b/>
                <w:color w:val="000000"/>
                <w:sz w:val="20"/>
                <w:szCs w:val="20"/>
              </w:rPr>
              <w:t>Total</w:t>
            </w:r>
          </w:p>
        </w:tc>
        <w:tc>
          <w:tcPr>
            <w:tcW w:w="1240" w:type="dxa"/>
          </w:tcPr>
          <w:p w14:paraId="6223FF63" w14:textId="77777777" w:rsidR="00C133BC" w:rsidRDefault="00442C7E">
            <w:pPr>
              <w:pBdr>
                <w:top w:val="nil"/>
                <w:left w:val="nil"/>
                <w:bottom w:val="nil"/>
                <w:right w:val="nil"/>
                <w:between w:val="nil"/>
              </w:pBdr>
              <w:jc w:val="both"/>
              <w:rPr>
                <w:rFonts w:ascii="Gill Sans" w:eastAsia="Gill Sans" w:hAnsi="Gill Sans" w:cs="Gill Sans"/>
                <w:b/>
                <w:color w:val="000000"/>
                <w:sz w:val="20"/>
                <w:szCs w:val="20"/>
              </w:rPr>
            </w:pPr>
            <w:r>
              <w:rPr>
                <w:rFonts w:ascii="Gill Sans" w:eastAsia="Gill Sans" w:hAnsi="Gill Sans" w:cs="Gill Sans"/>
                <w:b/>
                <w:color w:val="000000"/>
                <w:sz w:val="20"/>
                <w:szCs w:val="20"/>
              </w:rPr>
              <w:t>100</w:t>
            </w:r>
          </w:p>
        </w:tc>
        <w:tc>
          <w:tcPr>
            <w:tcW w:w="1170" w:type="dxa"/>
          </w:tcPr>
          <w:p w14:paraId="6223FF64" w14:textId="77777777" w:rsidR="00C133BC" w:rsidRDefault="00442C7E">
            <w:pPr>
              <w:pBdr>
                <w:top w:val="nil"/>
                <w:left w:val="nil"/>
                <w:bottom w:val="nil"/>
                <w:right w:val="nil"/>
                <w:between w:val="nil"/>
              </w:pBdr>
              <w:jc w:val="both"/>
              <w:rPr>
                <w:rFonts w:ascii="Gill Sans" w:eastAsia="Gill Sans" w:hAnsi="Gill Sans" w:cs="Gill Sans"/>
                <w:b/>
                <w:color w:val="000000"/>
                <w:sz w:val="20"/>
                <w:szCs w:val="20"/>
              </w:rPr>
            </w:pPr>
            <w:r>
              <w:rPr>
                <w:rFonts w:ascii="Gill Sans" w:eastAsia="Gill Sans" w:hAnsi="Gill Sans" w:cs="Gill Sans"/>
                <w:b/>
                <w:color w:val="000000"/>
                <w:sz w:val="20"/>
                <w:szCs w:val="20"/>
              </w:rPr>
              <w:t>100</w:t>
            </w:r>
          </w:p>
        </w:tc>
        <w:tc>
          <w:tcPr>
            <w:tcW w:w="1080" w:type="dxa"/>
          </w:tcPr>
          <w:p w14:paraId="6223FF65" w14:textId="77777777" w:rsidR="00C133BC" w:rsidRDefault="00442C7E">
            <w:pPr>
              <w:pBdr>
                <w:top w:val="nil"/>
                <w:left w:val="nil"/>
                <w:bottom w:val="nil"/>
                <w:right w:val="nil"/>
                <w:between w:val="nil"/>
              </w:pBdr>
              <w:jc w:val="both"/>
              <w:rPr>
                <w:rFonts w:ascii="Gill Sans" w:eastAsia="Gill Sans" w:hAnsi="Gill Sans" w:cs="Gill Sans"/>
                <w:b/>
                <w:color w:val="000000"/>
                <w:sz w:val="20"/>
                <w:szCs w:val="20"/>
              </w:rPr>
            </w:pPr>
            <w:r>
              <w:rPr>
                <w:rFonts w:ascii="Gill Sans" w:eastAsia="Gill Sans" w:hAnsi="Gill Sans" w:cs="Gill Sans"/>
                <w:b/>
                <w:color w:val="000000"/>
                <w:sz w:val="20"/>
                <w:szCs w:val="20"/>
              </w:rPr>
              <w:t>100</w:t>
            </w:r>
          </w:p>
        </w:tc>
      </w:tr>
    </w:tbl>
    <w:p w14:paraId="6223FF67" w14:textId="77777777" w:rsidR="00C133BC" w:rsidRDefault="00C133BC" w:rsidP="00415FAB">
      <w:pPr>
        <w:pStyle w:val="Heading2"/>
        <w:numPr>
          <w:ilvl w:val="0"/>
          <w:numId w:val="0"/>
        </w:numPr>
      </w:pPr>
    </w:p>
    <w:p w14:paraId="6223FF68" w14:textId="7F494128" w:rsidR="00C133BC" w:rsidRDefault="00442C7E">
      <w:pPr>
        <w:pStyle w:val="Heading2"/>
        <w:numPr>
          <w:ilvl w:val="1"/>
          <w:numId w:val="5"/>
        </w:numPr>
      </w:pPr>
      <w:bookmarkStart w:id="25" w:name="_heading=h.2bn6wsx" w:colFirst="0" w:colLast="0"/>
      <w:bookmarkEnd w:id="25"/>
      <w:r w:rsidRPr="00415FAB">
        <w:rPr>
          <w:b/>
          <w:bCs/>
        </w:rPr>
        <w:t>Offre financière</w:t>
      </w:r>
    </w:p>
    <w:p w14:paraId="6223FF69" w14:textId="77777777" w:rsidR="00C133BC" w:rsidRDefault="00442C7E">
      <w:pPr>
        <w:jc w:val="both"/>
      </w:pPr>
      <w:r>
        <w:t>Un fichier détaillant toutes les dépenses prévues pendant la période de l'étude.</w:t>
      </w:r>
    </w:p>
    <w:p w14:paraId="6223FF6A" w14:textId="77777777" w:rsidR="00C133BC" w:rsidRDefault="00442C7E">
      <w:pPr>
        <w:pStyle w:val="Heading1"/>
        <w:numPr>
          <w:ilvl w:val="0"/>
          <w:numId w:val="5"/>
        </w:numPr>
      </w:pPr>
      <w:bookmarkStart w:id="26" w:name="_heading=h.qsh70q" w:colFirst="0" w:colLast="0"/>
      <w:bookmarkEnd w:id="26"/>
      <w:r>
        <w:t>Période d'exécution et lieu de la consultation</w:t>
      </w:r>
    </w:p>
    <w:p w14:paraId="6223FF6B" w14:textId="77777777" w:rsidR="00C133BC" w:rsidRDefault="00442C7E">
      <w:pPr>
        <w:jc w:val="both"/>
        <w:rPr>
          <w:rFonts w:ascii="Gill Sans" w:eastAsia="Gill Sans" w:hAnsi="Gill Sans" w:cs="Gill Sans"/>
        </w:rPr>
      </w:pPr>
      <w:r>
        <w:rPr>
          <w:rFonts w:ascii="Gill Sans" w:eastAsia="Gill Sans" w:hAnsi="Gill Sans" w:cs="Gill Sans"/>
        </w:rPr>
        <w:t xml:space="preserve">L'étude devrait commencer en mars 2024 et durera </w:t>
      </w:r>
      <w:proofErr w:type="gramStart"/>
      <w:r>
        <w:rPr>
          <w:rFonts w:ascii="Gill Sans" w:eastAsia="Gill Sans" w:hAnsi="Gill Sans" w:cs="Gill Sans"/>
        </w:rPr>
        <w:t>trois mois maximum</w:t>
      </w:r>
      <w:proofErr w:type="gramEnd"/>
      <w:r>
        <w:rPr>
          <w:rFonts w:ascii="Gill Sans" w:eastAsia="Gill Sans" w:hAnsi="Gill Sans" w:cs="Gill Sans"/>
        </w:rPr>
        <w:t>. La mission se déroulera principalement sur le terrain dans les zones de résilience ciblées par le programme PARE dans les RFZ Nord et Sud (</w:t>
      </w:r>
      <w:r>
        <w:rPr>
          <w:rFonts w:ascii="Gill Sans" w:eastAsia="Gill Sans" w:hAnsi="Gill Sans" w:cs="Gill Sans"/>
          <w:i/>
        </w:rPr>
        <w:t>voir carte en annexe)</w:t>
      </w:r>
      <w:r>
        <w:rPr>
          <w:rFonts w:ascii="Gill Sans" w:eastAsia="Gill Sans" w:hAnsi="Gill Sans" w:cs="Gill Sans"/>
        </w:rPr>
        <w:t>.</w:t>
      </w:r>
    </w:p>
    <w:p w14:paraId="6223FF6C" w14:textId="77777777" w:rsidR="00C133BC" w:rsidRPr="00415FAB" w:rsidRDefault="00442C7E">
      <w:pPr>
        <w:pStyle w:val="Heading1"/>
        <w:numPr>
          <w:ilvl w:val="0"/>
          <w:numId w:val="5"/>
        </w:numPr>
      </w:pPr>
      <w:bookmarkStart w:id="27" w:name="_heading=h.3as4poj" w:colFirst="0" w:colLast="0"/>
      <w:bookmarkEnd w:id="27"/>
      <w:r>
        <w:t>Rapports et supervision</w:t>
      </w:r>
    </w:p>
    <w:p w14:paraId="6223FF6D" w14:textId="77777777" w:rsidR="00C133BC" w:rsidRDefault="00442C7E">
      <w:pPr>
        <w:spacing w:after="0" w:line="240" w:lineRule="auto"/>
        <w:jc w:val="both"/>
        <w:rPr>
          <w:rFonts w:ascii="Gill Sans" w:eastAsia="Gill Sans" w:hAnsi="Gill Sans" w:cs="Gill Sans"/>
        </w:rPr>
      </w:pPr>
      <w:r>
        <w:rPr>
          <w:rFonts w:ascii="Gill Sans" w:eastAsia="Gill Sans" w:hAnsi="Gill Sans" w:cs="Gill Sans"/>
        </w:rPr>
        <w:t xml:space="preserve">Le travail du consultant est supervisé techniquement par le Directeur Technique d'élevage avec l’appui du responsable de la Liaison avec le Système de Marché avec l’implication de l’équipe technique sous la direction du DCOP qui assure la coordination technique des activités techniques de PARE.  </w:t>
      </w:r>
    </w:p>
    <w:p w14:paraId="6223FF6E" w14:textId="77777777" w:rsidR="00C133BC" w:rsidRDefault="00442C7E">
      <w:pPr>
        <w:pStyle w:val="Heading1"/>
        <w:numPr>
          <w:ilvl w:val="0"/>
          <w:numId w:val="5"/>
        </w:numPr>
        <w:rPr>
          <w:rFonts w:ascii="Calibri" w:eastAsia="Calibri" w:hAnsi="Calibri" w:cs="Calibri"/>
        </w:rPr>
      </w:pPr>
      <w:bookmarkStart w:id="28" w:name="_heading=h.1pxezwc" w:colFirst="0" w:colLast="0"/>
      <w:bookmarkEnd w:id="28"/>
      <w:r>
        <w:t>Aspect administratif</w:t>
      </w:r>
    </w:p>
    <w:p w14:paraId="6223FF6F" w14:textId="77777777" w:rsidR="00C133BC" w:rsidRDefault="00442C7E">
      <w:pPr>
        <w:tabs>
          <w:tab w:val="center" w:pos="4680"/>
          <w:tab w:val="right" w:pos="9360"/>
        </w:tabs>
        <w:spacing w:after="0" w:line="240" w:lineRule="auto"/>
        <w:rPr>
          <w:rFonts w:ascii="Gill Sans" w:eastAsia="Gill Sans" w:hAnsi="Gill Sans" w:cs="Gill Sans"/>
        </w:rPr>
      </w:pPr>
      <w:r>
        <w:rPr>
          <w:rFonts w:ascii="Gill Sans" w:eastAsia="Gill Sans" w:hAnsi="Gill Sans" w:cs="Gill Sans"/>
        </w:rPr>
        <w:t>Le consultant est recruté sur la base de ses compétences et de son expérience dans le domaine. Il relève administrativement du COP de PARE ou de son remplaçant et ses conditions de travail sont définies dans son contrat ainsi que son émolument dans le cadre de cette consultation. Le Directeur Technique D’Elevage est responsable du suivi technique des travaux du consultant. Les conditions de travail du consultant sont définies dans son contrat. Les rapports du consultant seront adressés à PARE et seront présentés en Word sous une police de 12 et en caractères new Roman.</w:t>
      </w:r>
    </w:p>
    <w:p w14:paraId="02B99E46" w14:textId="77777777" w:rsidR="00E04B38" w:rsidRDefault="00E04B38"/>
    <w:p w14:paraId="3229EDEA" w14:textId="77777777" w:rsidR="00E04B38" w:rsidRPr="001B2217" w:rsidRDefault="00E04B38" w:rsidP="00E04B38">
      <w:pPr>
        <w:tabs>
          <w:tab w:val="center" w:pos="4680"/>
          <w:tab w:val="right" w:pos="9360"/>
        </w:tabs>
        <w:spacing w:after="120" w:line="240" w:lineRule="auto"/>
        <w:rPr>
          <w:rFonts w:ascii="Gill Sans MT" w:eastAsia="Times New Roman" w:hAnsi="Gill Sans MT" w:cs="Times New Roman"/>
        </w:rPr>
      </w:pPr>
      <w:r w:rsidRPr="001B2217">
        <w:rPr>
          <w:rFonts w:ascii="Gill Sans MT" w:eastAsia="Times New Roman" w:hAnsi="Gill Sans MT" w:cs="Times New Roman"/>
        </w:rPr>
        <w:t xml:space="preserve">Cette consultation concerne les 34 communes d’intervention de PARE, reparties dans les départements du Nord, Nord-Est, Centre et Sud. </w:t>
      </w:r>
    </w:p>
    <w:p w14:paraId="0D9902CD" w14:textId="77777777" w:rsidR="00E04B38" w:rsidRPr="001B2217" w:rsidRDefault="00E04B38" w:rsidP="00E04B38">
      <w:pPr>
        <w:rPr>
          <w:rFonts w:ascii="Gill Sans MT" w:eastAsia="Times New Roman" w:hAnsi="Gill Sans MT"/>
          <w:lang w:val="fr-FR"/>
        </w:rPr>
      </w:pPr>
      <w:r w:rsidRPr="001B2217">
        <w:rPr>
          <w:rFonts w:ascii="Gill Sans MT" w:hAnsi="Gill Sans MT"/>
          <w:lang w:val="fr-FR"/>
        </w:rPr>
        <w:t xml:space="preserve">Les consultants intéressés à offrir leurs services dans le cadre de cette consultation peuvent obtenir des informations supplémentaires en écrivant à l’adresse </w:t>
      </w:r>
      <w:proofErr w:type="gramStart"/>
      <w:r w:rsidRPr="001B2217">
        <w:rPr>
          <w:rFonts w:ascii="Gill Sans MT" w:hAnsi="Gill Sans MT"/>
          <w:lang w:val="fr-FR"/>
        </w:rPr>
        <w:t>email</w:t>
      </w:r>
      <w:proofErr w:type="gramEnd"/>
      <w:r w:rsidRPr="001B2217">
        <w:rPr>
          <w:rFonts w:ascii="Gill Sans MT" w:hAnsi="Gill Sans MT"/>
          <w:lang w:val="fr-FR"/>
        </w:rPr>
        <w:t xml:space="preserve"> mentionnée ci-dessous : </w:t>
      </w:r>
      <w:hyperlink r:id="rId9" w:history="1">
        <w:r w:rsidRPr="001B2217">
          <w:rPr>
            <w:rStyle w:val="Hyperlink"/>
            <w:rFonts w:ascii="Gill Sans MT" w:hAnsi="Gill Sans MT"/>
            <w:lang w:val="fr-FR"/>
          </w:rPr>
          <w:t>procurementspare@landolakes.com</w:t>
        </w:r>
      </w:hyperlink>
    </w:p>
    <w:p w14:paraId="420D2F51" w14:textId="77777777" w:rsidR="00E04B38" w:rsidRPr="00884F14" w:rsidRDefault="00E04B38" w:rsidP="00E04B38">
      <w:pPr>
        <w:rPr>
          <w:rFonts w:ascii="Gill Sans MT" w:eastAsia="Times New Roman" w:hAnsi="Gill Sans MT"/>
          <w:lang w:val="fr-FR"/>
        </w:rPr>
      </w:pPr>
      <w:r w:rsidRPr="001B2217">
        <w:rPr>
          <w:rFonts w:ascii="Gill Sans MT" w:hAnsi="Gill Sans MT"/>
          <w:lang w:val="fr-FR"/>
        </w:rPr>
        <w:t xml:space="preserve">Les offres techniques accompagnées des références pertinentes dans le domaine des services demandés, devront être déposées à l’adresse email mentionnée ci-dessous au plus tard </w:t>
      </w:r>
      <w:r w:rsidRPr="001B2217">
        <w:rPr>
          <w:rFonts w:ascii="Gill Sans MT" w:hAnsi="Gill Sans MT"/>
          <w:b/>
          <w:bCs/>
          <w:u w:val="single"/>
          <w:lang w:val="fr-FR"/>
        </w:rPr>
        <w:t>le vendredi 26 avril 2024</w:t>
      </w:r>
      <w:r w:rsidRPr="001B2217">
        <w:rPr>
          <w:rFonts w:ascii="Gill Sans MT" w:hAnsi="Gill Sans MT"/>
          <w:b/>
          <w:bCs/>
          <w:color w:val="FF0000"/>
          <w:u w:val="single"/>
          <w:lang w:val="fr-FR"/>
        </w:rPr>
        <w:t xml:space="preserve"> </w:t>
      </w:r>
      <w:r w:rsidRPr="001B2217">
        <w:rPr>
          <w:rFonts w:ascii="Gill Sans MT" w:hAnsi="Gill Sans MT"/>
          <w:b/>
          <w:bCs/>
          <w:u w:val="single"/>
          <w:lang w:val="fr-FR"/>
        </w:rPr>
        <w:t>à 17 heure</w:t>
      </w:r>
      <w:r w:rsidRPr="001B2217">
        <w:rPr>
          <w:rFonts w:ascii="Gill Sans MT" w:hAnsi="Gill Sans MT"/>
          <w:lang w:val="fr-FR"/>
        </w:rPr>
        <w:t xml:space="preserve"> (</w:t>
      </w:r>
      <w:r w:rsidRPr="001B2217">
        <w:rPr>
          <w:rFonts w:ascii="Gill Sans MT" w:hAnsi="Gill Sans MT"/>
          <w:i/>
          <w:iCs/>
          <w:lang w:val="fr-FR"/>
        </w:rPr>
        <w:t>heure haïtienne</w:t>
      </w:r>
      <w:r w:rsidRPr="001B2217">
        <w:rPr>
          <w:rFonts w:ascii="Gill Sans MT" w:hAnsi="Gill Sans MT"/>
          <w:lang w:val="fr-FR"/>
        </w:rPr>
        <w:t xml:space="preserve">) et porter expressément la mention « </w:t>
      </w:r>
      <w:r w:rsidRPr="001B2217">
        <w:rPr>
          <w:rFonts w:ascii="Gill Sans MT" w:hAnsi="Gill Sans MT"/>
          <w:i/>
          <w:iCs/>
          <w:lang w:val="fr-FR"/>
        </w:rPr>
        <w:t xml:space="preserve">Termes de référence pour un consultant en cartographie, disponibilité et adéquation des fourrages en fonction des zones agroécologiques de l’aire d’intervention de </w:t>
      </w:r>
      <w:proofErr w:type="gramStart"/>
      <w:r w:rsidRPr="001B2217">
        <w:rPr>
          <w:rFonts w:ascii="Gill Sans MT" w:hAnsi="Gill Sans MT"/>
          <w:i/>
          <w:iCs/>
          <w:lang w:val="fr-FR"/>
        </w:rPr>
        <w:t>PARE</w:t>
      </w:r>
      <w:r w:rsidRPr="001B2217">
        <w:rPr>
          <w:rFonts w:ascii="Gill Sans MT" w:hAnsi="Gill Sans MT"/>
          <w:lang w:val="fr-FR"/>
        </w:rPr>
        <w:t>»</w:t>
      </w:r>
      <w:proofErr w:type="gramEnd"/>
      <w:r w:rsidRPr="001B2217">
        <w:rPr>
          <w:rFonts w:ascii="Gill Sans MT" w:hAnsi="Gill Sans MT"/>
          <w:lang w:val="fr-FR"/>
        </w:rPr>
        <w:t xml:space="preserve">.  </w:t>
      </w:r>
      <w:hyperlink r:id="rId10" w:history="1">
        <w:r w:rsidRPr="001B2217">
          <w:rPr>
            <w:rStyle w:val="Hyperlink"/>
            <w:rFonts w:ascii="Gill Sans MT" w:hAnsi="Gill Sans MT"/>
            <w:lang w:val="fr-FR"/>
          </w:rPr>
          <w:t>procurementspare@landolakes.com</w:t>
        </w:r>
      </w:hyperlink>
    </w:p>
    <w:p w14:paraId="704214EE" w14:textId="77777777" w:rsidR="00E04B38" w:rsidRDefault="00E04B38"/>
    <w:p w14:paraId="6223FF70" w14:textId="25F983CD" w:rsidR="00C133BC" w:rsidRDefault="00442C7E">
      <w:pPr>
        <w:rPr>
          <w:rFonts w:ascii="Gill Sans" w:eastAsia="Gill Sans" w:hAnsi="Gill Sans" w:cs="Gill Sans"/>
        </w:rPr>
      </w:pPr>
      <w:r>
        <w:br w:type="page"/>
      </w:r>
    </w:p>
    <w:p w14:paraId="6223FF71" w14:textId="77777777" w:rsidR="00C133BC" w:rsidRPr="001521E4" w:rsidRDefault="00442C7E" w:rsidP="001521E4">
      <w:pPr>
        <w:tabs>
          <w:tab w:val="center" w:pos="4680"/>
          <w:tab w:val="right" w:pos="9360"/>
        </w:tabs>
        <w:spacing w:after="240" w:line="240" w:lineRule="auto"/>
        <w:rPr>
          <w:b/>
          <w:bCs/>
          <w:sz w:val="24"/>
          <w:szCs w:val="24"/>
        </w:rPr>
      </w:pPr>
      <w:r w:rsidRPr="001521E4">
        <w:rPr>
          <w:b/>
          <w:bCs/>
          <w:sz w:val="24"/>
          <w:szCs w:val="24"/>
        </w:rPr>
        <w:lastRenderedPageBreak/>
        <w:t>Liste des sigles</w:t>
      </w:r>
    </w:p>
    <w:p w14:paraId="6223FF72" w14:textId="77777777" w:rsidR="00C133BC" w:rsidRDefault="00442C7E">
      <w:pPr>
        <w:tabs>
          <w:tab w:val="center" w:pos="4680"/>
          <w:tab w:val="right" w:pos="9360"/>
        </w:tabs>
        <w:spacing w:after="0" w:line="240" w:lineRule="auto"/>
      </w:pPr>
      <w:r>
        <w:t>1. PARE - Programme d'Appui à la Rentabilisation de l'Elevage</w:t>
      </w:r>
    </w:p>
    <w:p w14:paraId="6223FF73" w14:textId="77777777" w:rsidR="00C133BC" w:rsidRDefault="00442C7E">
      <w:pPr>
        <w:tabs>
          <w:tab w:val="center" w:pos="4680"/>
          <w:tab w:val="right" w:pos="9360"/>
        </w:tabs>
        <w:spacing w:after="0" w:line="240" w:lineRule="auto"/>
      </w:pPr>
      <w:r>
        <w:t>2. USAID - Agence Américaine pour le Développement International</w:t>
      </w:r>
    </w:p>
    <w:p w14:paraId="6223FF74" w14:textId="77777777" w:rsidR="00C133BC" w:rsidRDefault="00442C7E">
      <w:pPr>
        <w:tabs>
          <w:tab w:val="center" w:pos="4680"/>
          <w:tab w:val="right" w:pos="9360"/>
        </w:tabs>
        <w:spacing w:after="0" w:line="240" w:lineRule="auto"/>
      </w:pPr>
      <w:r>
        <w:t>3. RFZ - Zones de Résilience (avec des spécifications Nord et Sud)</w:t>
      </w:r>
    </w:p>
    <w:p w14:paraId="6223FF75" w14:textId="77777777" w:rsidR="00C133BC" w:rsidRDefault="00442C7E">
      <w:pPr>
        <w:tabs>
          <w:tab w:val="center" w:pos="4680"/>
          <w:tab w:val="right" w:pos="9360"/>
        </w:tabs>
        <w:spacing w:after="0" w:line="240" w:lineRule="auto"/>
      </w:pPr>
      <w:r>
        <w:t>4. MSD - Développement des Systèmes de Marché (</w:t>
      </w:r>
      <w:proofErr w:type="spellStart"/>
      <w:r>
        <w:t>Market</w:t>
      </w:r>
      <w:proofErr w:type="spellEnd"/>
      <w:r>
        <w:t xml:space="preserve"> </w:t>
      </w:r>
      <w:proofErr w:type="spellStart"/>
      <w:r>
        <w:t>Systems</w:t>
      </w:r>
      <w:proofErr w:type="spellEnd"/>
      <w:r>
        <w:t xml:space="preserve"> </w:t>
      </w:r>
      <w:proofErr w:type="spellStart"/>
      <w:r>
        <w:t>Development</w:t>
      </w:r>
      <w:proofErr w:type="spellEnd"/>
      <w:r>
        <w:t>)</w:t>
      </w:r>
    </w:p>
    <w:p w14:paraId="6223FF76" w14:textId="77777777" w:rsidR="00C133BC" w:rsidRDefault="00442C7E">
      <w:pPr>
        <w:tabs>
          <w:tab w:val="center" w:pos="4680"/>
          <w:tab w:val="right" w:pos="9360"/>
        </w:tabs>
        <w:spacing w:after="0" w:line="240" w:lineRule="auto"/>
      </w:pPr>
      <w:r>
        <w:t>5. MIF - Fonds de Stimulation du Marché (</w:t>
      </w:r>
      <w:proofErr w:type="spellStart"/>
      <w:r>
        <w:t>Market</w:t>
      </w:r>
      <w:proofErr w:type="spellEnd"/>
      <w:r>
        <w:t xml:space="preserve"> </w:t>
      </w:r>
      <w:proofErr w:type="spellStart"/>
      <w:r>
        <w:t>Incentive</w:t>
      </w:r>
      <w:proofErr w:type="spellEnd"/>
      <w:r>
        <w:t xml:space="preserve"> </w:t>
      </w:r>
      <w:proofErr w:type="spellStart"/>
      <w:r>
        <w:t>Fund</w:t>
      </w:r>
      <w:proofErr w:type="spellEnd"/>
      <w:r>
        <w:t>)</w:t>
      </w:r>
    </w:p>
    <w:p w14:paraId="6223FF77" w14:textId="77777777" w:rsidR="00C133BC" w:rsidRDefault="00442C7E">
      <w:pPr>
        <w:tabs>
          <w:tab w:val="center" w:pos="4680"/>
          <w:tab w:val="right" w:pos="9360"/>
        </w:tabs>
        <w:spacing w:after="0" w:line="240" w:lineRule="auto"/>
      </w:pPr>
      <w:r>
        <w:t>6. SIG - Systèmes d'Information Géographique</w:t>
      </w:r>
    </w:p>
    <w:p w14:paraId="6223FF78" w14:textId="77777777" w:rsidR="00C133BC" w:rsidRDefault="00442C7E">
      <w:pPr>
        <w:tabs>
          <w:tab w:val="center" w:pos="4680"/>
          <w:tab w:val="right" w:pos="9360"/>
        </w:tabs>
        <w:spacing w:after="0" w:line="240" w:lineRule="auto"/>
      </w:pPr>
      <w:r>
        <w:t>7. SIPA - Système d’Innovation en Production Animale</w:t>
      </w:r>
    </w:p>
    <w:p w14:paraId="6223FF79" w14:textId="77777777" w:rsidR="00C133BC" w:rsidRDefault="00442C7E">
      <w:pPr>
        <w:tabs>
          <w:tab w:val="center" w:pos="4680"/>
          <w:tab w:val="right" w:pos="9360"/>
        </w:tabs>
        <w:spacing w:after="0" w:line="240" w:lineRule="auto"/>
      </w:pPr>
      <w:r>
        <w:t>8. CEMARCH - Centre d'excellence sur l'atténuation, l'adaptation et la résilience au changement climatique d’Haïti</w:t>
      </w:r>
    </w:p>
    <w:p w14:paraId="6223FF7A" w14:textId="77777777" w:rsidR="00C133BC" w:rsidRPr="00B861E7" w:rsidRDefault="00442C7E">
      <w:pPr>
        <w:tabs>
          <w:tab w:val="center" w:pos="4680"/>
          <w:tab w:val="right" w:pos="9360"/>
        </w:tabs>
        <w:spacing w:after="0" w:line="240" w:lineRule="auto"/>
        <w:rPr>
          <w:lang w:val="en-US"/>
        </w:rPr>
      </w:pPr>
      <w:r w:rsidRPr="00B861E7">
        <w:rPr>
          <w:lang w:val="en-US"/>
        </w:rPr>
        <w:t xml:space="preserve">9. UEH - Université </w:t>
      </w:r>
      <w:proofErr w:type="spellStart"/>
      <w:r w:rsidRPr="00B861E7">
        <w:rPr>
          <w:lang w:val="en-US"/>
        </w:rPr>
        <w:t>d'État</w:t>
      </w:r>
      <w:proofErr w:type="spellEnd"/>
      <w:r w:rsidRPr="00B861E7">
        <w:rPr>
          <w:lang w:val="en-US"/>
        </w:rPr>
        <w:t xml:space="preserve"> </w:t>
      </w:r>
      <w:proofErr w:type="spellStart"/>
      <w:r w:rsidRPr="00B861E7">
        <w:rPr>
          <w:lang w:val="en-US"/>
        </w:rPr>
        <w:t>d'Haïti</w:t>
      </w:r>
      <w:proofErr w:type="spellEnd"/>
    </w:p>
    <w:p w14:paraId="6223FF7B" w14:textId="77777777" w:rsidR="00C133BC" w:rsidRPr="00B861E7" w:rsidRDefault="00442C7E">
      <w:pPr>
        <w:tabs>
          <w:tab w:val="center" w:pos="4680"/>
          <w:tab w:val="right" w:pos="9360"/>
        </w:tabs>
        <w:spacing w:after="0" w:line="240" w:lineRule="auto"/>
        <w:rPr>
          <w:lang w:val="en-US"/>
        </w:rPr>
      </w:pPr>
      <w:r w:rsidRPr="00B861E7">
        <w:rPr>
          <w:lang w:val="en-US"/>
        </w:rPr>
        <w:t xml:space="preserve">10. UF/IFAS - University of Florida / Institute of Food and Agricultural Sciences </w:t>
      </w:r>
    </w:p>
    <w:p w14:paraId="6223FF7C" w14:textId="77777777" w:rsidR="00C133BC" w:rsidRDefault="00442C7E">
      <w:pPr>
        <w:tabs>
          <w:tab w:val="center" w:pos="4680"/>
          <w:tab w:val="right" w:pos="9360"/>
        </w:tabs>
        <w:spacing w:after="0" w:line="240" w:lineRule="auto"/>
      </w:pPr>
      <w:r>
        <w:t>11. DDA - Directions Départementales Agricoles</w:t>
      </w:r>
    </w:p>
    <w:p w14:paraId="6223FF7D" w14:textId="77777777" w:rsidR="00C133BC" w:rsidRDefault="00442C7E">
      <w:pPr>
        <w:tabs>
          <w:tab w:val="center" w:pos="4680"/>
          <w:tab w:val="right" w:pos="9360"/>
        </w:tabs>
        <w:spacing w:after="0" w:line="240" w:lineRule="auto"/>
      </w:pPr>
      <w:r>
        <w:t>12. MARNDR - Ministère de l'Agriculture des Ressources Naturelles et du Développement Rural</w:t>
      </w:r>
    </w:p>
    <w:p w14:paraId="6223FF7E" w14:textId="77777777" w:rsidR="00C133BC" w:rsidRDefault="00442C7E">
      <w:pPr>
        <w:tabs>
          <w:tab w:val="center" w:pos="4680"/>
          <w:tab w:val="right" w:pos="9360"/>
        </w:tabs>
        <w:spacing w:after="0" w:line="240" w:lineRule="auto"/>
      </w:pPr>
      <w:r>
        <w:t>13. PPR-N - Projet Paysages Résilients-Nord</w:t>
      </w:r>
    </w:p>
    <w:p w14:paraId="6223FF7F" w14:textId="77777777" w:rsidR="00C133BC" w:rsidRPr="00B861E7" w:rsidRDefault="00442C7E">
      <w:pPr>
        <w:tabs>
          <w:tab w:val="center" w:pos="4680"/>
          <w:tab w:val="right" w:pos="9360"/>
        </w:tabs>
        <w:spacing w:after="0" w:line="240" w:lineRule="auto"/>
        <w:rPr>
          <w:lang w:val="en-US"/>
        </w:rPr>
      </w:pPr>
      <w:r w:rsidRPr="00B861E7">
        <w:rPr>
          <w:lang w:val="en-US"/>
        </w:rPr>
        <w:t xml:space="preserve">14. AUC - American University of the Caribbean </w:t>
      </w:r>
    </w:p>
    <w:p w14:paraId="6223FF80" w14:textId="77777777" w:rsidR="00C133BC" w:rsidRDefault="00442C7E">
      <w:pPr>
        <w:tabs>
          <w:tab w:val="center" w:pos="4680"/>
          <w:tab w:val="right" w:pos="9360"/>
        </w:tabs>
        <w:spacing w:after="0" w:line="240" w:lineRule="auto"/>
      </w:pPr>
      <w:r>
        <w:t>15. UCNH - Université Chrétienne du Nord d’Haïti</w:t>
      </w:r>
    </w:p>
    <w:p w14:paraId="6223FF81" w14:textId="77777777" w:rsidR="00C133BC" w:rsidRDefault="00C133BC">
      <w:pPr>
        <w:tabs>
          <w:tab w:val="center" w:pos="4680"/>
          <w:tab w:val="right" w:pos="9360"/>
        </w:tabs>
        <w:spacing w:after="0" w:line="240" w:lineRule="auto"/>
      </w:pPr>
    </w:p>
    <w:p w14:paraId="6223FF82" w14:textId="77777777" w:rsidR="00C133BC" w:rsidRDefault="00442C7E">
      <w:r>
        <w:br w:type="page"/>
      </w:r>
    </w:p>
    <w:p w14:paraId="6223FF83" w14:textId="77777777" w:rsidR="00C133BC" w:rsidRDefault="00442C7E">
      <w:r>
        <w:rPr>
          <w:color w:val="000000"/>
          <w:sz w:val="27"/>
          <w:szCs w:val="27"/>
        </w:rPr>
        <w:lastRenderedPageBreak/>
        <w:t xml:space="preserve">Annexe </w:t>
      </w:r>
      <w:proofErr w:type="gramStart"/>
      <w:r>
        <w:rPr>
          <w:color w:val="000000"/>
          <w:sz w:val="27"/>
          <w:szCs w:val="27"/>
        </w:rPr>
        <w:t>1:</w:t>
      </w:r>
      <w:proofErr w:type="gramEnd"/>
      <w:r>
        <w:rPr>
          <w:color w:val="000000"/>
          <w:sz w:val="27"/>
          <w:szCs w:val="27"/>
        </w:rPr>
        <w:t xml:space="preserve"> Liste des communes d’intervention de PARE</w:t>
      </w:r>
    </w:p>
    <w:p w14:paraId="6223FF84" w14:textId="77777777" w:rsidR="00C133BC" w:rsidRDefault="00C133BC"/>
    <w:tbl>
      <w:tblPr>
        <w:tblStyle w:val="a1"/>
        <w:tblW w:w="3990" w:type="dxa"/>
        <w:tblLayout w:type="fixed"/>
        <w:tblLook w:val="0400" w:firstRow="0" w:lastRow="0" w:firstColumn="0" w:lastColumn="0" w:noHBand="0" w:noVBand="1"/>
      </w:tblPr>
      <w:tblGrid>
        <w:gridCol w:w="1642"/>
        <w:gridCol w:w="2348"/>
      </w:tblGrid>
      <w:tr w:rsidR="00C133BC" w14:paraId="6223FF87" w14:textId="77777777">
        <w:trPr>
          <w:trHeight w:val="290"/>
        </w:trPr>
        <w:tc>
          <w:tcPr>
            <w:tcW w:w="1642" w:type="dxa"/>
            <w:tcBorders>
              <w:top w:val="single" w:sz="12" w:space="0" w:color="000000"/>
              <w:left w:val="single" w:sz="12" w:space="0" w:color="000000"/>
              <w:bottom w:val="nil"/>
              <w:right w:val="nil"/>
            </w:tcBorders>
            <w:tcMar>
              <w:top w:w="0" w:type="dxa"/>
              <w:left w:w="30" w:type="dxa"/>
              <w:bottom w:w="0" w:type="dxa"/>
              <w:right w:w="30" w:type="dxa"/>
            </w:tcMar>
          </w:tcPr>
          <w:p w14:paraId="6223FF85" w14:textId="77777777" w:rsidR="00C133BC" w:rsidRDefault="00442C7E">
            <w:pPr>
              <w:pBdr>
                <w:top w:val="nil"/>
                <w:left w:val="nil"/>
                <w:bottom w:val="nil"/>
                <w:right w:val="nil"/>
                <w:between w:val="nil"/>
              </w:pBdr>
              <w:spacing w:after="0" w:line="240" w:lineRule="auto"/>
              <w:rPr>
                <w:color w:val="000000"/>
              </w:rPr>
            </w:pPr>
            <w:r>
              <w:rPr>
                <w:b/>
                <w:color w:val="000000"/>
              </w:rPr>
              <w:t>DEPARTEMENT</w:t>
            </w:r>
          </w:p>
        </w:tc>
        <w:tc>
          <w:tcPr>
            <w:tcW w:w="2348" w:type="dxa"/>
            <w:tcBorders>
              <w:top w:val="single" w:sz="12" w:space="0" w:color="000000"/>
              <w:left w:val="nil"/>
              <w:bottom w:val="nil"/>
              <w:right w:val="single" w:sz="12" w:space="0" w:color="000000"/>
            </w:tcBorders>
            <w:tcMar>
              <w:top w:w="0" w:type="dxa"/>
              <w:left w:w="30" w:type="dxa"/>
              <w:bottom w:w="0" w:type="dxa"/>
              <w:right w:w="30" w:type="dxa"/>
            </w:tcMar>
          </w:tcPr>
          <w:p w14:paraId="6223FF86" w14:textId="77777777" w:rsidR="00C133BC" w:rsidRDefault="00442C7E">
            <w:pPr>
              <w:pBdr>
                <w:top w:val="nil"/>
                <w:left w:val="nil"/>
                <w:bottom w:val="nil"/>
                <w:right w:val="nil"/>
                <w:between w:val="nil"/>
              </w:pBdr>
              <w:spacing w:after="0" w:line="240" w:lineRule="auto"/>
              <w:rPr>
                <w:color w:val="000000"/>
              </w:rPr>
            </w:pPr>
            <w:r>
              <w:rPr>
                <w:b/>
                <w:color w:val="000000"/>
              </w:rPr>
              <w:t>COMMUNE</w:t>
            </w:r>
          </w:p>
        </w:tc>
      </w:tr>
      <w:tr w:rsidR="00C133BC" w14:paraId="6223FF8A"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6223FF88" w14:textId="77777777" w:rsidR="00C133BC" w:rsidRDefault="00442C7E">
            <w:pPr>
              <w:pBdr>
                <w:top w:val="nil"/>
                <w:left w:val="nil"/>
                <w:bottom w:val="nil"/>
                <w:right w:val="nil"/>
                <w:between w:val="nil"/>
              </w:pBdr>
              <w:spacing w:after="0" w:line="240" w:lineRule="auto"/>
              <w:rPr>
                <w:color w:val="000000"/>
              </w:rPr>
            </w:pPr>
            <w:r>
              <w:rPr>
                <w:color w:val="000000"/>
              </w:rPr>
              <w:t>Nord</w:t>
            </w:r>
          </w:p>
        </w:tc>
        <w:tc>
          <w:tcPr>
            <w:tcW w:w="2348" w:type="dxa"/>
            <w:tcBorders>
              <w:top w:val="nil"/>
              <w:left w:val="nil"/>
              <w:bottom w:val="nil"/>
              <w:right w:val="single" w:sz="12" w:space="0" w:color="000000"/>
            </w:tcBorders>
            <w:tcMar>
              <w:top w:w="0" w:type="dxa"/>
              <w:left w:w="30" w:type="dxa"/>
              <w:bottom w:w="0" w:type="dxa"/>
              <w:right w:w="30" w:type="dxa"/>
            </w:tcMar>
          </w:tcPr>
          <w:p w14:paraId="6223FF89" w14:textId="77777777" w:rsidR="00C133BC" w:rsidRDefault="00442C7E">
            <w:pPr>
              <w:pBdr>
                <w:top w:val="nil"/>
                <w:left w:val="nil"/>
                <w:bottom w:val="nil"/>
                <w:right w:val="nil"/>
                <w:between w:val="nil"/>
              </w:pBdr>
              <w:spacing w:after="0" w:line="240" w:lineRule="auto"/>
              <w:rPr>
                <w:color w:val="000000"/>
              </w:rPr>
            </w:pPr>
            <w:r>
              <w:rPr>
                <w:color w:val="000000"/>
              </w:rPr>
              <w:t>Acul du Nord</w:t>
            </w:r>
          </w:p>
        </w:tc>
      </w:tr>
      <w:tr w:rsidR="00C133BC" w14:paraId="6223FF8D"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6223FF8B" w14:textId="77777777" w:rsidR="00C133BC" w:rsidRDefault="00442C7E">
            <w:pPr>
              <w:pBdr>
                <w:top w:val="nil"/>
                <w:left w:val="nil"/>
                <w:bottom w:val="nil"/>
                <w:right w:val="nil"/>
                <w:between w:val="nil"/>
              </w:pBdr>
              <w:spacing w:after="0" w:line="240" w:lineRule="auto"/>
              <w:rPr>
                <w:color w:val="000000"/>
              </w:rPr>
            </w:pPr>
            <w:r>
              <w:rPr>
                <w:color w:val="000000"/>
              </w:rPr>
              <w:t>Nord</w:t>
            </w:r>
          </w:p>
        </w:tc>
        <w:tc>
          <w:tcPr>
            <w:tcW w:w="2348" w:type="dxa"/>
            <w:tcBorders>
              <w:top w:val="nil"/>
              <w:left w:val="nil"/>
              <w:bottom w:val="nil"/>
              <w:right w:val="single" w:sz="12" w:space="0" w:color="000000"/>
            </w:tcBorders>
            <w:tcMar>
              <w:top w:w="0" w:type="dxa"/>
              <w:left w:w="30" w:type="dxa"/>
              <w:bottom w:w="0" w:type="dxa"/>
              <w:right w:w="30" w:type="dxa"/>
            </w:tcMar>
          </w:tcPr>
          <w:p w14:paraId="6223FF8C" w14:textId="77777777" w:rsidR="00C133BC" w:rsidRDefault="00442C7E">
            <w:pPr>
              <w:pBdr>
                <w:top w:val="nil"/>
                <w:left w:val="nil"/>
                <w:bottom w:val="nil"/>
                <w:right w:val="nil"/>
                <w:between w:val="nil"/>
              </w:pBdr>
              <w:spacing w:after="0" w:line="240" w:lineRule="auto"/>
              <w:rPr>
                <w:color w:val="000000"/>
              </w:rPr>
            </w:pPr>
            <w:r>
              <w:rPr>
                <w:color w:val="000000"/>
              </w:rPr>
              <w:t>La Victoire</w:t>
            </w:r>
          </w:p>
        </w:tc>
      </w:tr>
      <w:tr w:rsidR="00C133BC" w14:paraId="6223FF90"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6223FF8E" w14:textId="77777777" w:rsidR="00C133BC" w:rsidRDefault="00442C7E">
            <w:pPr>
              <w:pBdr>
                <w:top w:val="nil"/>
                <w:left w:val="nil"/>
                <w:bottom w:val="nil"/>
                <w:right w:val="nil"/>
                <w:between w:val="nil"/>
              </w:pBdr>
              <w:spacing w:after="0" w:line="240" w:lineRule="auto"/>
              <w:rPr>
                <w:color w:val="000000"/>
              </w:rPr>
            </w:pPr>
            <w:r>
              <w:rPr>
                <w:color w:val="000000"/>
              </w:rPr>
              <w:t>Nord</w:t>
            </w:r>
          </w:p>
        </w:tc>
        <w:tc>
          <w:tcPr>
            <w:tcW w:w="2348" w:type="dxa"/>
            <w:tcBorders>
              <w:top w:val="nil"/>
              <w:left w:val="nil"/>
              <w:bottom w:val="nil"/>
              <w:right w:val="single" w:sz="12" w:space="0" w:color="000000"/>
            </w:tcBorders>
            <w:tcMar>
              <w:top w:w="0" w:type="dxa"/>
              <w:left w:w="30" w:type="dxa"/>
              <w:bottom w:w="0" w:type="dxa"/>
              <w:right w:w="30" w:type="dxa"/>
            </w:tcMar>
          </w:tcPr>
          <w:p w14:paraId="6223FF8F" w14:textId="77777777" w:rsidR="00C133BC" w:rsidRDefault="00442C7E">
            <w:pPr>
              <w:pBdr>
                <w:top w:val="nil"/>
                <w:left w:val="nil"/>
                <w:bottom w:val="nil"/>
                <w:right w:val="nil"/>
                <w:between w:val="nil"/>
              </w:pBdr>
              <w:spacing w:after="0" w:line="240" w:lineRule="auto"/>
              <w:rPr>
                <w:color w:val="000000"/>
              </w:rPr>
            </w:pPr>
            <w:r>
              <w:rPr>
                <w:color w:val="000000"/>
              </w:rPr>
              <w:t>Limonade</w:t>
            </w:r>
          </w:p>
        </w:tc>
      </w:tr>
      <w:tr w:rsidR="00C133BC" w14:paraId="6223FF93" w14:textId="77777777">
        <w:trPr>
          <w:trHeight w:val="300"/>
        </w:trPr>
        <w:tc>
          <w:tcPr>
            <w:tcW w:w="1642" w:type="dxa"/>
            <w:tcBorders>
              <w:top w:val="nil"/>
              <w:left w:val="single" w:sz="12" w:space="0" w:color="000000"/>
              <w:bottom w:val="nil"/>
              <w:right w:val="nil"/>
            </w:tcBorders>
            <w:tcMar>
              <w:top w:w="0" w:type="dxa"/>
              <w:left w:w="30" w:type="dxa"/>
              <w:bottom w:w="0" w:type="dxa"/>
              <w:right w:w="30" w:type="dxa"/>
            </w:tcMar>
          </w:tcPr>
          <w:p w14:paraId="6223FF91" w14:textId="77777777" w:rsidR="00C133BC" w:rsidRDefault="00442C7E">
            <w:pPr>
              <w:pBdr>
                <w:top w:val="nil"/>
                <w:left w:val="nil"/>
                <w:bottom w:val="nil"/>
                <w:right w:val="nil"/>
                <w:between w:val="nil"/>
              </w:pBdr>
              <w:spacing w:after="0" w:line="240" w:lineRule="auto"/>
              <w:rPr>
                <w:color w:val="000000"/>
              </w:rPr>
            </w:pPr>
            <w:r>
              <w:rPr>
                <w:color w:val="000000"/>
              </w:rPr>
              <w:t>Nord</w:t>
            </w:r>
          </w:p>
        </w:tc>
        <w:tc>
          <w:tcPr>
            <w:tcW w:w="2348" w:type="dxa"/>
            <w:tcBorders>
              <w:top w:val="nil"/>
              <w:left w:val="nil"/>
              <w:bottom w:val="nil"/>
              <w:right w:val="single" w:sz="12" w:space="0" w:color="000000"/>
            </w:tcBorders>
            <w:tcMar>
              <w:top w:w="0" w:type="dxa"/>
              <w:left w:w="30" w:type="dxa"/>
              <w:bottom w:w="0" w:type="dxa"/>
              <w:right w:w="30" w:type="dxa"/>
            </w:tcMar>
          </w:tcPr>
          <w:p w14:paraId="6223FF92" w14:textId="77777777" w:rsidR="00C133BC" w:rsidRDefault="00442C7E">
            <w:pPr>
              <w:pBdr>
                <w:top w:val="nil"/>
                <w:left w:val="nil"/>
                <w:bottom w:val="nil"/>
                <w:right w:val="nil"/>
                <w:between w:val="nil"/>
              </w:pBdr>
              <w:spacing w:after="0" w:line="240" w:lineRule="auto"/>
              <w:rPr>
                <w:color w:val="000000"/>
              </w:rPr>
            </w:pPr>
            <w:r>
              <w:rPr>
                <w:color w:val="000000"/>
              </w:rPr>
              <w:t>Pignon</w:t>
            </w:r>
          </w:p>
        </w:tc>
      </w:tr>
      <w:tr w:rsidR="00C133BC" w14:paraId="6223FF96"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6223FF94" w14:textId="77777777" w:rsidR="00C133BC" w:rsidRDefault="00442C7E">
            <w:pPr>
              <w:pBdr>
                <w:top w:val="nil"/>
                <w:left w:val="nil"/>
                <w:bottom w:val="nil"/>
                <w:right w:val="nil"/>
                <w:between w:val="nil"/>
              </w:pBdr>
              <w:spacing w:after="0" w:line="240" w:lineRule="auto"/>
              <w:rPr>
                <w:color w:val="000000"/>
              </w:rPr>
            </w:pPr>
            <w:r>
              <w:rPr>
                <w:color w:val="000000"/>
              </w:rPr>
              <w:t>Nord</w:t>
            </w:r>
          </w:p>
        </w:tc>
        <w:tc>
          <w:tcPr>
            <w:tcW w:w="2348" w:type="dxa"/>
            <w:tcBorders>
              <w:top w:val="nil"/>
              <w:left w:val="nil"/>
              <w:bottom w:val="nil"/>
              <w:right w:val="single" w:sz="12" w:space="0" w:color="000000"/>
            </w:tcBorders>
            <w:tcMar>
              <w:top w:w="0" w:type="dxa"/>
              <w:left w:w="30" w:type="dxa"/>
              <w:bottom w:w="0" w:type="dxa"/>
              <w:right w:w="30" w:type="dxa"/>
            </w:tcMar>
          </w:tcPr>
          <w:p w14:paraId="6223FF95" w14:textId="77777777" w:rsidR="00C133BC" w:rsidRDefault="00442C7E">
            <w:pPr>
              <w:pBdr>
                <w:top w:val="nil"/>
                <w:left w:val="nil"/>
                <w:bottom w:val="nil"/>
                <w:right w:val="nil"/>
                <w:between w:val="nil"/>
              </w:pBdr>
              <w:spacing w:after="0" w:line="240" w:lineRule="auto"/>
              <w:rPr>
                <w:color w:val="000000"/>
              </w:rPr>
            </w:pPr>
            <w:r>
              <w:rPr>
                <w:color w:val="000000"/>
              </w:rPr>
              <w:t>Plaine du Nord</w:t>
            </w:r>
          </w:p>
        </w:tc>
      </w:tr>
      <w:tr w:rsidR="00C133BC" w14:paraId="6223FF99"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6223FF97" w14:textId="77777777" w:rsidR="00C133BC" w:rsidRDefault="00442C7E">
            <w:pPr>
              <w:pBdr>
                <w:top w:val="nil"/>
                <w:left w:val="nil"/>
                <w:bottom w:val="nil"/>
                <w:right w:val="nil"/>
                <w:between w:val="nil"/>
              </w:pBdr>
              <w:spacing w:after="0" w:line="240" w:lineRule="auto"/>
              <w:rPr>
                <w:color w:val="000000"/>
              </w:rPr>
            </w:pPr>
            <w:r>
              <w:rPr>
                <w:color w:val="000000"/>
              </w:rPr>
              <w:t>Nord</w:t>
            </w:r>
          </w:p>
        </w:tc>
        <w:tc>
          <w:tcPr>
            <w:tcW w:w="2348" w:type="dxa"/>
            <w:tcBorders>
              <w:top w:val="nil"/>
              <w:left w:val="nil"/>
              <w:bottom w:val="nil"/>
              <w:right w:val="single" w:sz="12" w:space="0" w:color="000000"/>
            </w:tcBorders>
            <w:tcMar>
              <w:top w:w="0" w:type="dxa"/>
              <w:left w:w="30" w:type="dxa"/>
              <w:bottom w:w="0" w:type="dxa"/>
              <w:right w:w="30" w:type="dxa"/>
            </w:tcMar>
          </w:tcPr>
          <w:p w14:paraId="6223FF98" w14:textId="77777777" w:rsidR="00C133BC" w:rsidRDefault="00442C7E">
            <w:pPr>
              <w:pBdr>
                <w:top w:val="nil"/>
                <w:left w:val="nil"/>
                <w:bottom w:val="nil"/>
                <w:right w:val="nil"/>
                <w:between w:val="nil"/>
              </w:pBdr>
              <w:spacing w:after="0" w:line="240" w:lineRule="auto"/>
              <w:rPr>
                <w:color w:val="000000"/>
              </w:rPr>
            </w:pPr>
            <w:r>
              <w:rPr>
                <w:color w:val="000000"/>
              </w:rPr>
              <w:t>Quartier Morin</w:t>
            </w:r>
          </w:p>
        </w:tc>
      </w:tr>
      <w:tr w:rsidR="00C133BC" w14:paraId="6223FF9C"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6223FF9A" w14:textId="77777777" w:rsidR="00C133BC" w:rsidRDefault="00442C7E">
            <w:pPr>
              <w:pBdr>
                <w:top w:val="nil"/>
                <w:left w:val="nil"/>
                <w:bottom w:val="nil"/>
                <w:right w:val="nil"/>
                <w:between w:val="nil"/>
              </w:pBdr>
              <w:spacing w:after="0" w:line="240" w:lineRule="auto"/>
              <w:rPr>
                <w:color w:val="000000"/>
              </w:rPr>
            </w:pPr>
            <w:r>
              <w:rPr>
                <w:color w:val="000000"/>
              </w:rPr>
              <w:t>Nord</w:t>
            </w:r>
          </w:p>
        </w:tc>
        <w:tc>
          <w:tcPr>
            <w:tcW w:w="2348" w:type="dxa"/>
            <w:tcBorders>
              <w:top w:val="nil"/>
              <w:left w:val="nil"/>
              <w:bottom w:val="nil"/>
              <w:right w:val="single" w:sz="12" w:space="0" w:color="000000"/>
            </w:tcBorders>
            <w:tcMar>
              <w:top w:w="0" w:type="dxa"/>
              <w:left w:w="30" w:type="dxa"/>
              <w:bottom w:w="0" w:type="dxa"/>
              <w:right w:w="30" w:type="dxa"/>
            </w:tcMar>
          </w:tcPr>
          <w:p w14:paraId="6223FF9B" w14:textId="77777777" w:rsidR="00C133BC" w:rsidRDefault="00442C7E">
            <w:pPr>
              <w:pBdr>
                <w:top w:val="nil"/>
                <w:left w:val="nil"/>
                <w:bottom w:val="nil"/>
                <w:right w:val="nil"/>
                <w:between w:val="nil"/>
              </w:pBdr>
              <w:spacing w:after="0" w:line="240" w:lineRule="auto"/>
              <w:rPr>
                <w:color w:val="000000"/>
              </w:rPr>
            </w:pPr>
            <w:proofErr w:type="spellStart"/>
            <w:r>
              <w:rPr>
                <w:color w:val="000000"/>
              </w:rPr>
              <w:t>Ranquitte</w:t>
            </w:r>
            <w:proofErr w:type="spellEnd"/>
          </w:p>
        </w:tc>
      </w:tr>
      <w:tr w:rsidR="00C133BC" w14:paraId="6223FF9F"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6223FF9D" w14:textId="77777777" w:rsidR="00C133BC" w:rsidRDefault="00442C7E">
            <w:pPr>
              <w:pBdr>
                <w:top w:val="nil"/>
                <w:left w:val="nil"/>
                <w:bottom w:val="nil"/>
                <w:right w:val="nil"/>
                <w:between w:val="nil"/>
              </w:pBdr>
              <w:spacing w:after="0" w:line="240" w:lineRule="auto"/>
              <w:rPr>
                <w:color w:val="000000"/>
              </w:rPr>
            </w:pPr>
            <w:r>
              <w:rPr>
                <w:color w:val="000000"/>
              </w:rPr>
              <w:t>Nord</w:t>
            </w:r>
          </w:p>
        </w:tc>
        <w:tc>
          <w:tcPr>
            <w:tcW w:w="2348" w:type="dxa"/>
            <w:tcBorders>
              <w:top w:val="nil"/>
              <w:left w:val="nil"/>
              <w:bottom w:val="nil"/>
              <w:right w:val="single" w:sz="12" w:space="0" w:color="000000"/>
            </w:tcBorders>
            <w:tcMar>
              <w:top w:w="0" w:type="dxa"/>
              <w:left w:w="30" w:type="dxa"/>
              <w:bottom w:w="0" w:type="dxa"/>
              <w:right w:w="30" w:type="dxa"/>
            </w:tcMar>
          </w:tcPr>
          <w:p w14:paraId="6223FF9E" w14:textId="77777777" w:rsidR="00C133BC" w:rsidRDefault="00442C7E">
            <w:pPr>
              <w:pBdr>
                <w:top w:val="nil"/>
                <w:left w:val="nil"/>
                <w:bottom w:val="nil"/>
                <w:right w:val="nil"/>
                <w:between w:val="nil"/>
              </w:pBdr>
              <w:spacing w:after="0" w:line="240" w:lineRule="auto"/>
              <w:rPr>
                <w:color w:val="000000"/>
              </w:rPr>
            </w:pPr>
            <w:r>
              <w:rPr>
                <w:color w:val="000000"/>
              </w:rPr>
              <w:t>Saint Raphael</w:t>
            </w:r>
          </w:p>
        </w:tc>
      </w:tr>
      <w:tr w:rsidR="00C133BC" w14:paraId="6223FFA2"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6223FFA0" w14:textId="77777777" w:rsidR="00C133BC" w:rsidRDefault="00442C7E">
            <w:pPr>
              <w:pBdr>
                <w:top w:val="nil"/>
                <w:left w:val="nil"/>
                <w:bottom w:val="nil"/>
                <w:right w:val="nil"/>
                <w:between w:val="nil"/>
              </w:pBdr>
              <w:spacing w:after="0" w:line="240" w:lineRule="auto"/>
              <w:rPr>
                <w:color w:val="000000"/>
              </w:rPr>
            </w:pPr>
            <w:r>
              <w:rPr>
                <w:color w:val="000000"/>
              </w:rPr>
              <w:t>Nord-Est</w:t>
            </w:r>
          </w:p>
        </w:tc>
        <w:tc>
          <w:tcPr>
            <w:tcW w:w="2348" w:type="dxa"/>
            <w:tcBorders>
              <w:top w:val="nil"/>
              <w:left w:val="nil"/>
              <w:bottom w:val="nil"/>
              <w:right w:val="single" w:sz="12" w:space="0" w:color="000000"/>
            </w:tcBorders>
            <w:tcMar>
              <w:top w:w="0" w:type="dxa"/>
              <w:left w:w="30" w:type="dxa"/>
              <w:bottom w:w="0" w:type="dxa"/>
              <w:right w:w="30" w:type="dxa"/>
            </w:tcMar>
          </w:tcPr>
          <w:p w14:paraId="6223FFA1" w14:textId="77777777" w:rsidR="00C133BC" w:rsidRDefault="00442C7E">
            <w:pPr>
              <w:pBdr>
                <w:top w:val="nil"/>
                <w:left w:val="nil"/>
                <w:bottom w:val="nil"/>
                <w:right w:val="nil"/>
                <w:between w:val="nil"/>
              </w:pBdr>
              <w:spacing w:after="0" w:line="240" w:lineRule="auto"/>
              <w:rPr>
                <w:color w:val="000000"/>
              </w:rPr>
            </w:pPr>
            <w:proofErr w:type="spellStart"/>
            <w:r>
              <w:rPr>
                <w:color w:val="000000"/>
              </w:rPr>
              <w:t>Capotille</w:t>
            </w:r>
            <w:proofErr w:type="spellEnd"/>
          </w:p>
        </w:tc>
      </w:tr>
      <w:tr w:rsidR="00C133BC" w14:paraId="6223FFA5"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6223FFA3" w14:textId="77777777" w:rsidR="00C133BC" w:rsidRDefault="00442C7E">
            <w:pPr>
              <w:pBdr>
                <w:top w:val="nil"/>
                <w:left w:val="nil"/>
                <w:bottom w:val="nil"/>
                <w:right w:val="nil"/>
                <w:between w:val="nil"/>
              </w:pBdr>
              <w:spacing w:after="0" w:line="240" w:lineRule="auto"/>
              <w:rPr>
                <w:color w:val="000000"/>
              </w:rPr>
            </w:pPr>
            <w:r>
              <w:rPr>
                <w:color w:val="000000"/>
              </w:rPr>
              <w:t>Nord-Est</w:t>
            </w:r>
          </w:p>
        </w:tc>
        <w:tc>
          <w:tcPr>
            <w:tcW w:w="2348" w:type="dxa"/>
            <w:tcBorders>
              <w:top w:val="nil"/>
              <w:left w:val="nil"/>
              <w:bottom w:val="nil"/>
              <w:right w:val="single" w:sz="12" w:space="0" w:color="000000"/>
            </w:tcBorders>
            <w:tcMar>
              <w:top w:w="0" w:type="dxa"/>
              <w:left w:w="30" w:type="dxa"/>
              <w:bottom w:w="0" w:type="dxa"/>
              <w:right w:w="30" w:type="dxa"/>
            </w:tcMar>
          </w:tcPr>
          <w:p w14:paraId="6223FFA4" w14:textId="77777777" w:rsidR="00C133BC" w:rsidRDefault="00442C7E">
            <w:pPr>
              <w:pBdr>
                <w:top w:val="nil"/>
                <w:left w:val="nil"/>
                <w:bottom w:val="nil"/>
                <w:right w:val="nil"/>
                <w:between w:val="nil"/>
              </w:pBdr>
              <w:spacing w:after="0" w:line="240" w:lineRule="auto"/>
              <w:rPr>
                <w:color w:val="000000"/>
              </w:rPr>
            </w:pPr>
            <w:proofErr w:type="spellStart"/>
            <w:r>
              <w:rPr>
                <w:color w:val="000000"/>
              </w:rPr>
              <w:t>Caracol</w:t>
            </w:r>
            <w:proofErr w:type="spellEnd"/>
          </w:p>
        </w:tc>
      </w:tr>
      <w:tr w:rsidR="00C133BC" w14:paraId="6223FFA8"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6223FFA6" w14:textId="77777777" w:rsidR="00C133BC" w:rsidRDefault="00442C7E">
            <w:pPr>
              <w:pBdr>
                <w:top w:val="nil"/>
                <w:left w:val="nil"/>
                <w:bottom w:val="nil"/>
                <w:right w:val="nil"/>
                <w:between w:val="nil"/>
              </w:pBdr>
              <w:spacing w:after="0" w:line="240" w:lineRule="auto"/>
              <w:rPr>
                <w:color w:val="000000"/>
              </w:rPr>
            </w:pPr>
            <w:r>
              <w:rPr>
                <w:color w:val="000000"/>
              </w:rPr>
              <w:t>Nord-Est</w:t>
            </w:r>
          </w:p>
        </w:tc>
        <w:tc>
          <w:tcPr>
            <w:tcW w:w="2348" w:type="dxa"/>
            <w:tcBorders>
              <w:top w:val="nil"/>
              <w:left w:val="nil"/>
              <w:bottom w:val="nil"/>
              <w:right w:val="single" w:sz="12" w:space="0" w:color="000000"/>
            </w:tcBorders>
            <w:tcMar>
              <w:top w:w="0" w:type="dxa"/>
              <w:left w:w="30" w:type="dxa"/>
              <w:bottom w:w="0" w:type="dxa"/>
              <w:right w:w="30" w:type="dxa"/>
            </w:tcMar>
          </w:tcPr>
          <w:p w14:paraId="6223FFA7" w14:textId="77777777" w:rsidR="00C133BC" w:rsidRDefault="00442C7E">
            <w:pPr>
              <w:pBdr>
                <w:top w:val="nil"/>
                <w:left w:val="nil"/>
                <w:bottom w:val="nil"/>
                <w:right w:val="nil"/>
                <w:between w:val="nil"/>
              </w:pBdr>
              <w:spacing w:after="0" w:line="240" w:lineRule="auto"/>
              <w:rPr>
                <w:color w:val="000000"/>
              </w:rPr>
            </w:pPr>
            <w:proofErr w:type="spellStart"/>
            <w:r>
              <w:rPr>
                <w:color w:val="000000"/>
              </w:rPr>
              <w:t>Carice</w:t>
            </w:r>
            <w:proofErr w:type="spellEnd"/>
          </w:p>
        </w:tc>
      </w:tr>
      <w:tr w:rsidR="00C133BC" w14:paraId="6223FFAB"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6223FFA9" w14:textId="77777777" w:rsidR="00C133BC" w:rsidRDefault="00442C7E">
            <w:pPr>
              <w:pBdr>
                <w:top w:val="nil"/>
                <w:left w:val="nil"/>
                <w:bottom w:val="nil"/>
                <w:right w:val="nil"/>
                <w:between w:val="nil"/>
              </w:pBdr>
              <w:spacing w:after="0" w:line="240" w:lineRule="auto"/>
              <w:rPr>
                <w:color w:val="000000"/>
              </w:rPr>
            </w:pPr>
            <w:r>
              <w:rPr>
                <w:color w:val="000000"/>
              </w:rPr>
              <w:t>Nord-Est</w:t>
            </w:r>
          </w:p>
        </w:tc>
        <w:tc>
          <w:tcPr>
            <w:tcW w:w="2348" w:type="dxa"/>
            <w:tcBorders>
              <w:top w:val="nil"/>
              <w:left w:val="nil"/>
              <w:bottom w:val="nil"/>
              <w:right w:val="single" w:sz="12" w:space="0" w:color="000000"/>
            </w:tcBorders>
            <w:tcMar>
              <w:top w:w="0" w:type="dxa"/>
              <w:left w:w="30" w:type="dxa"/>
              <w:bottom w:w="0" w:type="dxa"/>
              <w:right w:w="30" w:type="dxa"/>
            </w:tcMar>
          </w:tcPr>
          <w:p w14:paraId="6223FFAA" w14:textId="77777777" w:rsidR="00C133BC" w:rsidRDefault="00442C7E">
            <w:pPr>
              <w:pBdr>
                <w:top w:val="nil"/>
                <w:left w:val="nil"/>
                <w:bottom w:val="nil"/>
                <w:right w:val="nil"/>
                <w:between w:val="nil"/>
              </w:pBdr>
              <w:spacing w:after="0" w:line="240" w:lineRule="auto"/>
              <w:rPr>
                <w:color w:val="000000"/>
              </w:rPr>
            </w:pPr>
            <w:r>
              <w:rPr>
                <w:color w:val="000000"/>
              </w:rPr>
              <w:t>Ferrier</w:t>
            </w:r>
          </w:p>
        </w:tc>
      </w:tr>
      <w:tr w:rsidR="00C133BC" w14:paraId="6223FFAE"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6223FFAC" w14:textId="77777777" w:rsidR="00C133BC" w:rsidRDefault="00442C7E">
            <w:pPr>
              <w:pBdr>
                <w:top w:val="nil"/>
                <w:left w:val="nil"/>
                <w:bottom w:val="nil"/>
                <w:right w:val="nil"/>
                <w:between w:val="nil"/>
              </w:pBdr>
              <w:spacing w:after="0" w:line="240" w:lineRule="auto"/>
              <w:rPr>
                <w:color w:val="000000"/>
              </w:rPr>
            </w:pPr>
            <w:r>
              <w:rPr>
                <w:color w:val="000000"/>
              </w:rPr>
              <w:t>Nord-Est</w:t>
            </w:r>
          </w:p>
        </w:tc>
        <w:tc>
          <w:tcPr>
            <w:tcW w:w="2348" w:type="dxa"/>
            <w:tcBorders>
              <w:top w:val="nil"/>
              <w:left w:val="nil"/>
              <w:bottom w:val="nil"/>
              <w:right w:val="single" w:sz="12" w:space="0" w:color="000000"/>
            </w:tcBorders>
            <w:tcMar>
              <w:top w:w="0" w:type="dxa"/>
              <w:left w:w="30" w:type="dxa"/>
              <w:bottom w:w="0" w:type="dxa"/>
              <w:right w:w="30" w:type="dxa"/>
            </w:tcMar>
          </w:tcPr>
          <w:p w14:paraId="6223FFAD" w14:textId="77777777" w:rsidR="00C133BC" w:rsidRDefault="00442C7E">
            <w:pPr>
              <w:pBdr>
                <w:top w:val="nil"/>
                <w:left w:val="nil"/>
                <w:bottom w:val="nil"/>
                <w:right w:val="nil"/>
                <w:between w:val="nil"/>
              </w:pBdr>
              <w:spacing w:after="0" w:line="240" w:lineRule="auto"/>
              <w:rPr>
                <w:color w:val="000000"/>
              </w:rPr>
            </w:pPr>
            <w:r>
              <w:rPr>
                <w:color w:val="000000"/>
              </w:rPr>
              <w:t>Fort-Liberté</w:t>
            </w:r>
          </w:p>
        </w:tc>
      </w:tr>
      <w:tr w:rsidR="00C133BC" w14:paraId="6223FFB1"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6223FFAF" w14:textId="77777777" w:rsidR="00C133BC" w:rsidRDefault="00442C7E">
            <w:pPr>
              <w:pBdr>
                <w:top w:val="nil"/>
                <w:left w:val="nil"/>
                <w:bottom w:val="nil"/>
                <w:right w:val="nil"/>
                <w:between w:val="nil"/>
              </w:pBdr>
              <w:spacing w:after="0" w:line="240" w:lineRule="auto"/>
              <w:rPr>
                <w:color w:val="000000"/>
              </w:rPr>
            </w:pPr>
            <w:r>
              <w:rPr>
                <w:color w:val="000000"/>
              </w:rPr>
              <w:t>Nord-Est</w:t>
            </w:r>
          </w:p>
        </w:tc>
        <w:tc>
          <w:tcPr>
            <w:tcW w:w="2348" w:type="dxa"/>
            <w:tcBorders>
              <w:top w:val="nil"/>
              <w:left w:val="nil"/>
              <w:bottom w:val="nil"/>
              <w:right w:val="single" w:sz="12" w:space="0" w:color="000000"/>
            </w:tcBorders>
            <w:tcMar>
              <w:top w:w="0" w:type="dxa"/>
              <w:left w:w="30" w:type="dxa"/>
              <w:bottom w:w="0" w:type="dxa"/>
              <w:right w:w="30" w:type="dxa"/>
            </w:tcMar>
          </w:tcPr>
          <w:p w14:paraId="6223FFB0" w14:textId="77777777" w:rsidR="00C133BC" w:rsidRDefault="00442C7E">
            <w:pPr>
              <w:pBdr>
                <w:top w:val="nil"/>
                <w:left w:val="nil"/>
                <w:bottom w:val="nil"/>
                <w:right w:val="nil"/>
                <w:between w:val="nil"/>
              </w:pBdr>
              <w:spacing w:after="0" w:line="240" w:lineRule="auto"/>
              <w:rPr>
                <w:color w:val="000000"/>
              </w:rPr>
            </w:pPr>
            <w:r>
              <w:rPr>
                <w:color w:val="000000"/>
              </w:rPr>
              <w:t>Mont-Organisé</w:t>
            </w:r>
          </w:p>
        </w:tc>
      </w:tr>
      <w:tr w:rsidR="00C133BC" w14:paraId="6223FFB4"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6223FFB2" w14:textId="77777777" w:rsidR="00C133BC" w:rsidRDefault="00442C7E">
            <w:pPr>
              <w:pBdr>
                <w:top w:val="nil"/>
                <w:left w:val="nil"/>
                <w:bottom w:val="nil"/>
                <w:right w:val="nil"/>
                <w:between w:val="nil"/>
              </w:pBdr>
              <w:spacing w:after="0" w:line="240" w:lineRule="auto"/>
              <w:rPr>
                <w:color w:val="000000"/>
              </w:rPr>
            </w:pPr>
            <w:r>
              <w:rPr>
                <w:color w:val="000000"/>
              </w:rPr>
              <w:t>Nord-Est</w:t>
            </w:r>
          </w:p>
        </w:tc>
        <w:tc>
          <w:tcPr>
            <w:tcW w:w="2348" w:type="dxa"/>
            <w:tcBorders>
              <w:top w:val="nil"/>
              <w:left w:val="nil"/>
              <w:bottom w:val="nil"/>
              <w:right w:val="single" w:sz="12" w:space="0" w:color="000000"/>
            </w:tcBorders>
            <w:tcMar>
              <w:top w:w="0" w:type="dxa"/>
              <w:left w:w="30" w:type="dxa"/>
              <w:bottom w:w="0" w:type="dxa"/>
              <w:right w:w="30" w:type="dxa"/>
            </w:tcMar>
          </w:tcPr>
          <w:p w14:paraId="6223FFB3" w14:textId="77777777" w:rsidR="00C133BC" w:rsidRDefault="00442C7E">
            <w:pPr>
              <w:pBdr>
                <w:top w:val="nil"/>
                <w:left w:val="nil"/>
                <w:bottom w:val="nil"/>
                <w:right w:val="nil"/>
                <w:between w:val="nil"/>
              </w:pBdr>
              <w:spacing w:after="0" w:line="240" w:lineRule="auto"/>
              <w:rPr>
                <w:color w:val="000000"/>
              </w:rPr>
            </w:pPr>
            <w:r>
              <w:rPr>
                <w:color w:val="000000"/>
              </w:rPr>
              <w:t>Ouanaminthe</w:t>
            </w:r>
          </w:p>
        </w:tc>
      </w:tr>
      <w:tr w:rsidR="00C133BC" w14:paraId="6223FFB7"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6223FFB5" w14:textId="77777777" w:rsidR="00C133BC" w:rsidRDefault="00442C7E">
            <w:pPr>
              <w:pBdr>
                <w:top w:val="nil"/>
                <w:left w:val="nil"/>
                <w:bottom w:val="nil"/>
                <w:right w:val="nil"/>
                <w:between w:val="nil"/>
              </w:pBdr>
              <w:spacing w:after="0" w:line="240" w:lineRule="auto"/>
              <w:rPr>
                <w:color w:val="000000"/>
              </w:rPr>
            </w:pPr>
            <w:r>
              <w:rPr>
                <w:color w:val="000000"/>
              </w:rPr>
              <w:t>Nord-Est</w:t>
            </w:r>
          </w:p>
        </w:tc>
        <w:tc>
          <w:tcPr>
            <w:tcW w:w="2348" w:type="dxa"/>
            <w:tcBorders>
              <w:top w:val="nil"/>
              <w:left w:val="nil"/>
              <w:bottom w:val="nil"/>
              <w:right w:val="single" w:sz="12" w:space="0" w:color="000000"/>
            </w:tcBorders>
            <w:tcMar>
              <w:top w:w="0" w:type="dxa"/>
              <w:left w:w="30" w:type="dxa"/>
              <w:bottom w:w="0" w:type="dxa"/>
              <w:right w:w="30" w:type="dxa"/>
            </w:tcMar>
          </w:tcPr>
          <w:p w14:paraId="6223FFB6" w14:textId="77777777" w:rsidR="00C133BC" w:rsidRDefault="00442C7E">
            <w:pPr>
              <w:pBdr>
                <w:top w:val="nil"/>
                <w:left w:val="nil"/>
                <w:bottom w:val="nil"/>
                <w:right w:val="nil"/>
                <w:between w:val="nil"/>
              </w:pBdr>
              <w:spacing w:after="0" w:line="240" w:lineRule="auto"/>
              <w:rPr>
                <w:color w:val="000000"/>
              </w:rPr>
            </w:pPr>
            <w:r>
              <w:rPr>
                <w:color w:val="000000"/>
              </w:rPr>
              <w:t>Perches</w:t>
            </w:r>
          </w:p>
        </w:tc>
      </w:tr>
      <w:tr w:rsidR="00C133BC" w14:paraId="6223FFBA"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6223FFB8" w14:textId="77777777" w:rsidR="00C133BC" w:rsidRDefault="00442C7E">
            <w:pPr>
              <w:pBdr>
                <w:top w:val="nil"/>
                <w:left w:val="nil"/>
                <w:bottom w:val="nil"/>
                <w:right w:val="nil"/>
                <w:between w:val="nil"/>
              </w:pBdr>
              <w:spacing w:after="0" w:line="240" w:lineRule="auto"/>
              <w:rPr>
                <w:color w:val="000000"/>
              </w:rPr>
            </w:pPr>
            <w:r>
              <w:rPr>
                <w:color w:val="000000"/>
              </w:rPr>
              <w:t>Nord-Est</w:t>
            </w:r>
          </w:p>
        </w:tc>
        <w:tc>
          <w:tcPr>
            <w:tcW w:w="2348" w:type="dxa"/>
            <w:tcBorders>
              <w:top w:val="nil"/>
              <w:left w:val="nil"/>
              <w:bottom w:val="nil"/>
              <w:right w:val="single" w:sz="12" w:space="0" w:color="000000"/>
            </w:tcBorders>
            <w:tcMar>
              <w:top w:w="0" w:type="dxa"/>
              <w:left w:w="30" w:type="dxa"/>
              <w:bottom w:w="0" w:type="dxa"/>
              <w:right w:w="30" w:type="dxa"/>
            </w:tcMar>
          </w:tcPr>
          <w:p w14:paraId="6223FFB9" w14:textId="77777777" w:rsidR="00C133BC" w:rsidRDefault="00442C7E">
            <w:pPr>
              <w:pBdr>
                <w:top w:val="nil"/>
                <w:left w:val="nil"/>
                <w:bottom w:val="nil"/>
                <w:right w:val="nil"/>
                <w:between w:val="nil"/>
              </w:pBdr>
              <w:spacing w:after="0" w:line="240" w:lineRule="auto"/>
              <w:rPr>
                <w:color w:val="000000"/>
              </w:rPr>
            </w:pPr>
            <w:r>
              <w:rPr>
                <w:color w:val="000000"/>
              </w:rPr>
              <w:t>Sainte-Suzanne</w:t>
            </w:r>
          </w:p>
        </w:tc>
      </w:tr>
      <w:tr w:rsidR="00C133BC" w14:paraId="6223FFBD"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6223FFBB" w14:textId="77777777" w:rsidR="00C133BC" w:rsidRDefault="00442C7E">
            <w:pPr>
              <w:pBdr>
                <w:top w:val="nil"/>
                <w:left w:val="nil"/>
                <w:bottom w:val="nil"/>
                <w:right w:val="nil"/>
                <w:between w:val="nil"/>
              </w:pBdr>
              <w:spacing w:after="0" w:line="240" w:lineRule="auto"/>
              <w:rPr>
                <w:color w:val="000000"/>
              </w:rPr>
            </w:pPr>
            <w:r>
              <w:rPr>
                <w:color w:val="000000"/>
              </w:rPr>
              <w:t>Nord-Est</w:t>
            </w:r>
          </w:p>
        </w:tc>
        <w:tc>
          <w:tcPr>
            <w:tcW w:w="2348" w:type="dxa"/>
            <w:tcBorders>
              <w:top w:val="nil"/>
              <w:left w:val="nil"/>
              <w:bottom w:val="nil"/>
              <w:right w:val="single" w:sz="12" w:space="0" w:color="000000"/>
            </w:tcBorders>
            <w:tcMar>
              <w:top w:w="0" w:type="dxa"/>
              <w:left w:w="30" w:type="dxa"/>
              <w:bottom w:w="0" w:type="dxa"/>
              <w:right w:w="30" w:type="dxa"/>
            </w:tcMar>
          </w:tcPr>
          <w:p w14:paraId="6223FFBC" w14:textId="77777777" w:rsidR="00C133BC" w:rsidRDefault="00442C7E">
            <w:pPr>
              <w:pBdr>
                <w:top w:val="nil"/>
                <w:left w:val="nil"/>
                <w:bottom w:val="nil"/>
                <w:right w:val="nil"/>
                <w:between w:val="nil"/>
              </w:pBdr>
              <w:spacing w:after="0" w:line="240" w:lineRule="auto"/>
              <w:rPr>
                <w:color w:val="000000"/>
              </w:rPr>
            </w:pPr>
            <w:r>
              <w:rPr>
                <w:color w:val="000000"/>
              </w:rPr>
              <w:t>Terrier Rouge</w:t>
            </w:r>
          </w:p>
        </w:tc>
      </w:tr>
      <w:tr w:rsidR="00C133BC" w14:paraId="6223FFC0"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6223FFBE" w14:textId="77777777" w:rsidR="00C133BC" w:rsidRDefault="00442C7E">
            <w:pPr>
              <w:pBdr>
                <w:top w:val="nil"/>
                <w:left w:val="nil"/>
                <w:bottom w:val="nil"/>
                <w:right w:val="nil"/>
                <w:between w:val="nil"/>
              </w:pBdr>
              <w:spacing w:after="0" w:line="240" w:lineRule="auto"/>
              <w:rPr>
                <w:color w:val="000000"/>
              </w:rPr>
            </w:pPr>
            <w:r>
              <w:rPr>
                <w:color w:val="000000"/>
              </w:rPr>
              <w:t>Nord-Est</w:t>
            </w:r>
          </w:p>
        </w:tc>
        <w:tc>
          <w:tcPr>
            <w:tcW w:w="2348" w:type="dxa"/>
            <w:tcBorders>
              <w:top w:val="nil"/>
              <w:left w:val="nil"/>
              <w:bottom w:val="nil"/>
              <w:right w:val="single" w:sz="12" w:space="0" w:color="000000"/>
            </w:tcBorders>
            <w:tcMar>
              <w:top w:w="0" w:type="dxa"/>
              <w:left w:w="30" w:type="dxa"/>
              <w:bottom w:w="0" w:type="dxa"/>
              <w:right w:w="30" w:type="dxa"/>
            </w:tcMar>
          </w:tcPr>
          <w:p w14:paraId="6223FFBF" w14:textId="77777777" w:rsidR="00C133BC" w:rsidRDefault="00442C7E">
            <w:pPr>
              <w:pBdr>
                <w:top w:val="nil"/>
                <w:left w:val="nil"/>
                <w:bottom w:val="nil"/>
                <w:right w:val="nil"/>
                <w:between w:val="nil"/>
              </w:pBdr>
              <w:spacing w:after="0" w:line="240" w:lineRule="auto"/>
              <w:rPr>
                <w:color w:val="000000"/>
              </w:rPr>
            </w:pPr>
            <w:r>
              <w:rPr>
                <w:color w:val="000000"/>
              </w:rPr>
              <w:t>Trou du Nord</w:t>
            </w:r>
          </w:p>
        </w:tc>
      </w:tr>
      <w:tr w:rsidR="00C133BC" w14:paraId="6223FFC3"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6223FFC1" w14:textId="77777777" w:rsidR="00C133BC" w:rsidRDefault="00442C7E">
            <w:pPr>
              <w:pBdr>
                <w:top w:val="nil"/>
                <w:left w:val="nil"/>
                <w:bottom w:val="nil"/>
                <w:right w:val="nil"/>
                <w:between w:val="nil"/>
              </w:pBdr>
              <w:spacing w:after="0" w:line="240" w:lineRule="auto"/>
              <w:rPr>
                <w:color w:val="000000"/>
              </w:rPr>
            </w:pPr>
            <w:r>
              <w:rPr>
                <w:color w:val="000000"/>
              </w:rPr>
              <w:t>Nord-Est</w:t>
            </w:r>
          </w:p>
        </w:tc>
        <w:tc>
          <w:tcPr>
            <w:tcW w:w="2348" w:type="dxa"/>
            <w:tcBorders>
              <w:top w:val="nil"/>
              <w:left w:val="nil"/>
              <w:bottom w:val="nil"/>
              <w:right w:val="single" w:sz="12" w:space="0" w:color="000000"/>
            </w:tcBorders>
            <w:tcMar>
              <w:top w:w="0" w:type="dxa"/>
              <w:left w:w="30" w:type="dxa"/>
              <w:bottom w:w="0" w:type="dxa"/>
              <w:right w:w="30" w:type="dxa"/>
            </w:tcMar>
          </w:tcPr>
          <w:p w14:paraId="6223FFC2" w14:textId="77777777" w:rsidR="00C133BC" w:rsidRDefault="00442C7E">
            <w:pPr>
              <w:pBdr>
                <w:top w:val="nil"/>
                <w:left w:val="nil"/>
                <w:bottom w:val="nil"/>
                <w:right w:val="nil"/>
                <w:between w:val="nil"/>
              </w:pBdr>
              <w:spacing w:after="0" w:line="240" w:lineRule="auto"/>
              <w:rPr>
                <w:color w:val="000000"/>
              </w:rPr>
            </w:pPr>
            <w:proofErr w:type="spellStart"/>
            <w:r>
              <w:rPr>
                <w:color w:val="000000"/>
              </w:rPr>
              <w:t>Vaillere</w:t>
            </w:r>
            <w:proofErr w:type="spellEnd"/>
          </w:p>
        </w:tc>
      </w:tr>
      <w:tr w:rsidR="00C133BC" w14:paraId="6223FFC6"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6223FFC4" w14:textId="77777777" w:rsidR="00C133BC" w:rsidRDefault="00442C7E">
            <w:pPr>
              <w:pBdr>
                <w:top w:val="nil"/>
                <w:left w:val="nil"/>
                <w:bottom w:val="nil"/>
                <w:right w:val="nil"/>
                <w:between w:val="nil"/>
              </w:pBdr>
              <w:spacing w:after="0" w:line="240" w:lineRule="auto"/>
              <w:rPr>
                <w:color w:val="000000"/>
              </w:rPr>
            </w:pPr>
            <w:r>
              <w:rPr>
                <w:color w:val="000000"/>
              </w:rPr>
              <w:t>Centre</w:t>
            </w:r>
          </w:p>
        </w:tc>
        <w:tc>
          <w:tcPr>
            <w:tcW w:w="2348" w:type="dxa"/>
            <w:tcBorders>
              <w:top w:val="nil"/>
              <w:left w:val="nil"/>
              <w:bottom w:val="nil"/>
              <w:right w:val="single" w:sz="12" w:space="0" w:color="000000"/>
            </w:tcBorders>
            <w:tcMar>
              <w:top w:w="0" w:type="dxa"/>
              <w:left w:w="30" w:type="dxa"/>
              <w:bottom w:w="0" w:type="dxa"/>
              <w:right w:w="30" w:type="dxa"/>
            </w:tcMar>
          </w:tcPr>
          <w:p w14:paraId="6223FFC5" w14:textId="77777777" w:rsidR="00C133BC" w:rsidRDefault="00442C7E">
            <w:pPr>
              <w:pBdr>
                <w:top w:val="nil"/>
                <w:left w:val="nil"/>
                <w:bottom w:val="nil"/>
                <w:right w:val="nil"/>
                <w:between w:val="nil"/>
              </w:pBdr>
              <w:spacing w:after="0" w:line="240" w:lineRule="auto"/>
              <w:rPr>
                <w:color w:val="000000"/>
              </w:rPr>
            </w:pPr>
            <w:proofErr w:type="spellStart"/>
            <w:r>
              <w:rPr>
                <w:color w:val="000000"/>
              </w:rPr>
              <w:t>Cerca-Carvajale</w:t>
            </w:r>
            <w:proofErr w:type="spellEnd"/>
          </w:p>
        </w:tc>
      </w:tr>
      <w:tr w:rsidR="00C133BC" w14:paraId="6223FFC9"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6223FFC7" w14:textId="77777777" w:rsidR="00C133BC" w:rsidRDefault="00442C7E">
            <w:pPr>
              <w:pBdr>
                <w:top w:val="nil"/>
                <w:left w:val="nil"/>
                <w:bottom w:val="nil"/>
                <w:right w:val="nil"/>
                <w:between w:val="nil"/>
              </w:pBdr>
              <w:spacing w:after="0" w:line="240" w:lineRule="auto"/>
              <w:rPr>
                <w:color w:val="000000"/>
              </w:rPr>
            </w:pPr>
            <w:r>
              <w:rPr>
                <w:color w:val="000000"/>
              </w:rPr>
              <w:t>Centre</w:t>
            </w:r>
          </w:p>
        </w:tc>
        <w:tc>
          <w:tcPr>
            <w:tcW w:w="2348" w:type="dxa"/>
            <w:tcBorders>
              <w:top w:val="nil"/>
              <w:left w:val="nil"/>
              <w:bottom w:val="nil"/>
              <w:right w:val="single" w:sz="12" w:space="0" w:color="000000"/>
            </w:tcBorders>
            <w:tcMar>
              <w:top w:w="0" w:type="dxa"/>
              <w:left w:w="30" w:type="dxa"/>
              <w:bottom w:w="0" w:type="dxa"/>
              <w:right w:w="30" w:type="dxa"/>
            </w:tcMar>
          </w:tcPr>
          <w:p w14:paraId="6223FFC8" w14:textId="77777777" w:rsidR="00C133BC" w:rsidRDefault="00442C7E">
            <w:pPr>
              <w:pBdr>
                <w:top w:val="nil"/>
                <w:left w:val="nil"/>
                <w:bottom w:val="nil"/>
                <w:right w:val="nil"/>
                <w:between w:val="nil"/>
              </w:pBdr>
              <w:spacing w:after="0" w:line="240" w:lineRule="auto"/>
              <w:rPr>
                <w:color w:val="000000"/>
              </w:rPr>
            </w:pPr>
            <w:proofErr w:type="spellStart"/>
            <w:r>
              <w:rPr>
                <w:color w:val="000000"/>
              </w:rPr>
              <w:t>Cerca</w:t>
            </w:r>
            <w:proofErr w:type="spellEnd"/>
            <w:r>
              <w:rPr>
                <w:color w:val="000000"/>
              </w:rPr>
              <w:t xml:space="preserve"> la Source</w:t>
            </w:r>
          </w:p>
        </w:tc>
      </w:tr>
      <w:tr w:rsidR="00C133BC" w14:paraId="6223FFCC"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6223FFCA" w14:textId="77777777" w:rsidR="00C133BC" w:rsidRDefault="00442C7E">
            <w:pPr>
              <w:pBdr>
                <w:top w:val="nil"/>
                <w:left w:val="nil"/>
                <w:bottom w:val="nil"/>
                <w:right w:val="nil"/>
                <w:between w:val="nil"/>
              </w:pBdr>
              <w:spacing w:after="0" w:line="240" w:lineRule="auto"/>
              <w:rPr>
                <w:color w:val="000000"/>
              </w:rPr>
            </w:pPr>
            <w:r>
              <w:rPr>
                <w:color w:val="000000"/>
              </w:rPr>
              <w:t>Centre</w:t>
            </w:r>
          </w:p>
        </w:tc>
        <w:tc>
          <w:tcPr>
            <w:tcW w:w="2348" w:type="dxa"/>
            <w:tcBorders>
              <w:top w:val="nil"/>
              <w:left w:val="nil"/>
              <w:bottom w:val="nil"/>
              <w:right w:val="single" w:sz="12" w:space="0" w:color="000000"/>
            </w:tcBorders>
            <w:tcMar>
              <w:top w:w="0" w:type="dxa"/>
              <w:left w:w="30" w:type="dxa"/>
              <w:bottom w:w="0" w:type="dxa"/>
              <w:right w:w="30" w:type="dxa"/>
            </w:tcMar>
          </w:tcPr>
          <w:p w14:paraId="6223FFCB" w14:textId="77777777" w:rsidR="00C133BC" w:rsidRDefault="00442C7E">
            <w:pPr>
              <w:pBdr>
                <w:top w:val="nil"/>
                <w:left w:val="nil"/>
                <w:bottom w:val="nil"/>
                <w:right w:val="nil"/>
                <w:between w:val="nil"/>
              </w:pBdr>
              <w:spacing w:after="0" w:line="240" w:lineRule="auto"/>
              <w:rPr>
                <w:color w:val="000000"/>
              </w:rPr>
            </w:pPr>
            <w:r>
              <w:rPr>
                <w:color w:val="000000"/>
              </w:rPr>
              <w:t>Hinche</w:t>
            </w:r>
          </w:p>
        </w:tc>
      </w:tr>
      <w:tr w:rsidR="00C133BC" w14:paraId="6223FFCF"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6223FFCD" w14:textId="77777777" w:rsidR="00C133BC" w:rsidRDefault="00442C7E">
            <w:pPr>
              <w:pBdr>
                <w:top w:val="nil"/>
                <w:left w:val="nil"/>
                <w:bottom w:val="nil"/>
                <w:right w:val="nil"/>
                <w:between w:val="nil"/>
              </w:pBdr>
              <w:spacing w:after="0" w:line="240" w:lineRule="auto"/>
              <w:rPr>
                <w:color w:val="000000"/>
              </w:rPr>
            </w:pPr>
            <w:r>
              <w:rPr>
                <w:color w:val="000000"/>
              </w:rPr>
              <w:t>Sud</w:t>
            </w:r>
          </w:p>
        </w:tc>
        <w:tc>
          <w:tcPr>
            <w:tcW w:w="2348" w:type="dxa"/>
            <w:tcBorders>
              <w:top w:val="nil"/>
              <w:left w:val="nil"/>
              <w:bottom w:val="nil"/>
              <w:right w:val="single" w:sz="12" w:space="0" w:color="000000"/>
            </w:tcBorders>
            <w:tcMar>
              <w:top w:w="0" w:type="dxa"/>
              <w:left w:w="30" w:type="dxa"/>
              <w:bottom w:w="0" w:type="dxa"/>
              <w:right w:w="30" w:type="dxa"/>
            </w:tcMar>
          </w:tcPr>
          <w:p w14:paraId="6223FFCE" w14:textId="77777777" w:rsidR="00C133BC" w:rsidRDefault="00442C7E">
            <w:pPr>
              <w:pBdr>
                <w:top w:val="nil"/>
                <w:left w:val="nil"/>
                <w:bottom w:val="nil"/>
                <w:right w:val="nil"/>
                <w:between w:val="nil"/>
              </w:pBdr>
              <w:spacing w:after="0" w:line="240" w:lineRule="auto"/>
              <w:rPr>
                <w:color w:val="000000"/>
              </w:rPr>
            </w:pPr>
            <w:r>
              <w:rPr>
                <w:color w:val="000000"/>
              </w:rPr>
              <w:t>Côteaux</w:t>
            </w:r>
          </w:p>
        </w:tc>
      </w:tr>
      <w:tr w:rsidR="00C133BC" w14:paraId="6223FFD2"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6223FFD0" w14:textId="77777777" w:rsidR="00C133BC" w:rsidRDefault="00442C7E">
            <w:pPr>
              <w:pBdr>
                <w:top w:val="nil"/>
                <w:left w:val="nil"/>
                <w:bottom w:val="nil"/>
                <w:right w:val="nil"/>
                <w:between w:val="nil"/>
              </w:pBdr>
              <w:spacing w:after="0" w:line="240" w:lineRule="auto"/>
              <w:rPr>
                <w:color w:val="000000"/>
              </w:rPr>
            </w:pPr>
            <w:r>
              <w:rPr>
                <w:color w:val="000000"/>
              </w:rPr>
              <w:t>Sud</w:t>
            </w:r>
          </w:p>
        </w:tc>
        <w:tc>
          <w:tcPr>
            <w:tcW w:w="2348" w:type="dxa"/>
            <w:tcBorders>
              <w:top w:val="nil"/>
              <w:left w:val="nil"/>
              <w:bottom w:val="nil"/>
              <w:right w:val="single" w:sz="12" w:space="0" w:color="000000"/>
            </w:tcBorders>
            <w:tcMar>
              <w:top w:w="0" w:type="dxa"/>
              <w:left w:w="30" w:type="dxa"/>
              <w:bottom w:w="0" w:type="dxa"/>
              <w:right w:w="30" w:type="dxa"/>
            </w:tcMar>
          </w:tcPr>
          <w:p w14:paraId="6223FFD1" w14:textId="77777777" w:rsidR="00C133BC" w:rsidRDefault="00442C7E">
            <w:pPr>
              <w:pBdr>
                <w:top w:val="nil"/>
                <w:left w:val="nil"/>
                <w:bottom w:val="nil"/>
                <w:right w:val="nil"/>
                <w:between w:val="nil"/>
              </w:pBdr>
              <w:spacing w:after="0" w:line="240" w:lineRule="auto"/>
              <w:rPr>
                <w:color w:val="000000"/>
              </w:rPr>
            </w:pPr>
            <w:proofErr w:type="spellStart"/>
            <w:r>
              <w:rPr>
                <w:color w:val="000000"/>
              </w:rPr>
              <w:t>Arniquet</w:t>
            </w:r>
            <w:proofErr w:type="spellEnd"/>
          </w:p>
        </w:tc>
      </w:tr>
      <w:tr w:rsidR="00C133BC" w14:paraId="6223FFD5"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6223FFD3" w14:textId="77777777" w:rsidR="00C133BC" w:rsidRDefault="00442C7E">
            <w:pPr>
              <w:pBdr>
                <w:top w:val="nil"/>
                <w:left w:val="nil"/>
                <w:bottom w:val="nil"/>
                <w:right w:val="nil"/>
                <w:between w:val="nil"/>
              </w:pBdr>
              <w:spacing w:after="0" w:line="240" w:lineRule="auto"/>
              <w:rPr>
                <w:color w:val="000000"/>
              </w:rPr>
            </w:pPr>
            <w:r>
              <w:rPr>
                <w:color w:val="000000"/>
              </w:rPr>
              <w:t>Sud</w:t>
            </w:r>
          </w:p>
        </w:tc>
        <w:tc>
          <w:tcPr>
            <w:tcW w:w="2348" w:type="dxa"/>
            <w:tcBorders>
              <w:top w:val="nil"/>
              <w:left w:val="nil"/>
              <w:bottom w:val="nil"/>
              <w:right w:val="single" w:sz="12" w:space="0" w:color="000000"/>
            </w:tcBorders>
            <w:tcMar>
              <w:top w:w="0" w:type="dxa"/>
              <w:left w:w="30" w:type="dxa"/>
              <w:bottom w:w="0" w:type="dxa"/>
              <w:right w:w="30" w:type="dxa"/>
            </w:tcMar>
          </w:tcPr>
          <w:p w14:paraId="6223FFD4" w14:textId="77777777" w:rsidR="00C133BC" w:rsidRDefault="00442C7E">
            <w:pPr>
              <w:pBdr>
                <w:top w:val="nil"/>
                <w:left w:val="nil"/>
                <w:bottom w:val="nil"/>
                <w:right w:val="nil"/>
                <w:between w:val="nil"/>
              </w:pBdr>
              <w:spacing w:after="0" w:line="240" w:lineRule="auto"/>
              <w:rPr>
                <w:color w:val="000000"/>
              </w:rPr>
            </w:pPr>
            <w:r>
              <w:rPr>
                <w:color w:val="000000"/>
              </w:rPr>
              <w:t>Camp-Perrin</w:t>
            </w:r>
          </w:p>
        </w:tc>
      </w:tr>
      <w:tr w:rsidR="00C133BC" w14:paraId="6223FFD8"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6223FFD6" w14:textId="77777777" w:rsidR="00C133BC" w:rsidRDefault="00442C7E">
            <w:pPr>
              <w:pBdr>
                <w:top w:val="nil"/>
                <w:left w:val="nil"/>
                <w:bottom w:val="nil"/>
                <w:right w:val="nil"/>
                <w:between w:val="nil"/>
              </w:pBdr>
              <w:spacing w:after="0" w:line="240" w:lineRule="auto"/>
              <w:rPr>
                <w:color w:val="000000"/>
              </w:rPr>
            </w:pPr>
            <w:r>
              <w:rPr>
                <w:color w:val="000000"/>
              </w:rPr>
              <w:t>Sud</w:t>
            </w:r>
          </w:p>
        </w:tc>
        <w:tc>
          <w:tcPr>
            <w:tcW w:w="2348" w:type="dxa"/>
            <w:tcBorders>
              <w:top w:val="nil"/>
              <w:left w:val="nil"/>
              <w:bottom w:val="nil"/>
              <w:right w:val="single" w:sz="12" w:space="0" w:color="000000"/>
            </w:tcBorders>
            <w:tcMar>
              <w:top w:w="0" w:type="dxa"/>
              <w:left w:w="30" w:type="dxa"/>
              <w:bottom w:w="0" w:type="dxa"/>
              <w:right w:w="30" w:type="dxa"/>
            </w:tcMar>
          </w:tcPr>
          <w:p w14:paraId="6223FFD7" w14:textId="77777777" w:rsidR="00C133BC" w:rsidRDefault="00442C7E">
            <w:pPr>
              <w:pBdr>
                <w:top w:val="nil"/>
                <w:left w:val="nil"/>
                <w:bottom w:val="nil"/>
                <w:right w:val="nil"/>
                <w:between w:val="nil"/>
              </w:pBdr>
              <w:spacing w:after="0" w:line="240" w:lineRule="auto"/>
              <w:rPr>
                <w:color w:val="000000"/>
              </w:rPr>
            </w:pPr>
            <w:r>
              <w:rPr>
                <w:color w:val="000000"/>
              </w:rPr>
              <w:t>Chantal</w:t>
            </w:r>
          </w:p>
        </w:tc>
      </w:tr>
      <w:tr w:rsidR="00C133BC" w14:paraId="6223FFDB"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6223FFD9" w14:textId="77777777" w:rsidR="00C133BC" w:rsidRDefault="00442C7E">
            <w:pPr>
              <w:pBdr>
                <w:top w:val="nil"/>
                <w:left w:val="nil"/>
                <w:bottom w:val="nil"/>
                <w:right w:val="nil"/>
                <w:between w:val="nil"/>
              </w:pBdr>
              <w:spacing w:after="0" w:line="240" w:lineRule="auto"/>
              <w:rPr>
                <w:color w:val="000000"/>
              </w:rPr>
            </w:pPr>
            <w:r>
              <w:rPr>
                <w:color w:val="000000"/>
              </w:rPr>
              <w:t>Sud</w:t>
            </w:r>
          </w:p>
        </w:tc>
        <w:tc>
          <w:tcPr>
            <w:tcW w:w="2348" w:type="dxa"/>
            <w:tcBorders>
              <w:top w:val="nil"/>
              <w:left w:val="nil"/>
              <w:bottom w:val="nil"/>
              <w:right w:val="single" w:sz="12" w:space="0" w:color="000000"/>
            </w:tcBorders>
            <w:tcMar>
              <w:top w:w="0" w:type="dxa"/>
              <w:left w:w="30" w:type="dxa"/>
              <w:bottom w:w="0" w:type="dxa"/>
              <w:right w:w="30" w:type="dxa"/>
            </w:tcMar>
          </w:tcPr>
          <w:p w14:paraId="6223FFDA" w14:textId="77777777" w:rsidR="00C133BC" w:rsidRDefault="00442C7E">
            <w:pPr>
              <w:pBdr>
                <w:top w:val="nil"/>
                <w:left w:val="nil"/>
                <w:bottom w:val="nil"/>
                <w:right w:val="nil"/>
                <w:between w:val="nil"/>
              </w:pBdr>
              <w:spacing w:after="0" w:line="240" w:lineRule="auto"/>
              <w:rPr>
                <w:color w:val="000000"/>
              </w:rPr>
            </w:pPr>
            <w:r>
              <w:rPr>
                <w:color w:val="000000"/>
              </w:rPr>
              <w:t>Charbonnières</w:t>
            </w:r>
          </w:p>
        </w:tc>
      </w:tr>
      <w:tr w:rsidR="00C133BC" w14:paraId="6223FFDE"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6223FFDC" w14:textId="77777777" w:rsidR="00C133BC" w:rsidRDefault="00442C7E">
            <w:pPr>
              <w:pBdr>
                <w:top w:val="nil"/>
                <w:left w:val="nil"/>
                <w:bottom w:val="nil"/>
                <w:right w:val="nil"/>
                <w:between w:val="nil"/>
              </w:pBdr>
              <w:spacing w:after="0" w:line="240" w:lineRule="auto"/>
              <w:rPr>
                <w:color w:val="000000"/>
              </w:rPr>
            </w:pPr>
            <w:r>
              <w:rPr>
                <w:color w:val="000000"/>
              </w:rPr>
              <w:t>Sud</w:t>
            </w:r>
          </w:p>
        </w:tc>
        <w:tc>
          <w:tcPr>
            <w:tcW w:w="2348" w:type="dxa"/>
            <w:tcBorders>
              <w:top w:val="nil"/>
              <w:left w:val="nil"/>
              <w:bottom w:val="nil"/>
              <w:right w:val="single" w:sz="12" w:space="0" w:color="000000"/>
            </w:tcBorders>
            <w:tcMar>
              <w:top w:w="0" w:type="dxa"/>
              <w:left w:w="30" w:type="dxa"/>
              <w:bottom w:w="0" w:type="dxa"/>
              <w:right w:w="30" w:type="dxa"/>
            </w:tcMar>
          </w:tcPr>
          <w:p w14:paraId="6223FFDD" w14:textId="77777777" w:rsidR="00C133BC" w:rsidRDefault="00442C7E">
            <w:pPr>
              <w:pBdr>
                <w:top w:val="nil"/>
                <w:left w:val="nil"/>
                <w:bottom w:val="nil"/>
                <w:right w:val="nil"/>
                <w:between w:val="nil"/>
              </w:pBdr>
              <w:spacing w:after="0" w:line="240" w:lineRule="auto"/>
              <w:rPr>
                <w:color w:val="000000"/>
              </w:rPr>
            </w:pPr>
            <w:r>
              <w:rPr>
                <w:color w:val="000000"/>
              </w:rPr>
              <w:t>Les Cayes</w:t>
            </w:r>
          </w:p>
        </w:tc>
      </w:tr>
      <w:tr w:rsidR="00C133BC" w14:paraId="6223FFE1"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6223FFDF" w14:textId="77777777" w:rsidR="00C133BC" w:rsidRDefault="00442C7E">
            <w:pPr>
              <w:pBdr>
                <w:top w:val="nil"/>
                <w:left w:val="nil"/>
                <w:bottom w:val="nil"/>
                <w:right w:val="nil"/>
                <w:between w:val="nil"/>
              </w:pBdr>
              <w:spacing w:after="0" w:line="240" w:lineRule="auto"/>
              <w:rPr>
                <w:color w:val="000000"/>
              </w:rPr>
            </w:pPr>
            <w:r>
              <w:rPr>
                <w:color w:val="000000"/>
              </w:rPr>
              <w:t>Sud</w:t>
            </w:r>
          </w:p>
        </w:tc>
        <w:tc>
          <w:tcPr>
            <w:tcW w:w="2348" w:type="dxa"/>
            <w:tcBorders>
              <w:top w:val="nil"/>
              <w:left w:val="nil"/>
              <w:bottom w:val="nil"/>
              <w:right w:val="single" w:sz="12" w:space="0" w:color="000000"/>
            </w:tcBorders>
            <w:tcMar>
              <w:top w:w="0" w:type="dxa"/>
              <w:left w:w="30" w:type="dxa"/>
              <w:bottom w:w="0" w:type="dxa"/>
              <w:right w:w="30" w:type="dxa"/>
            </w:tcMar>
          </w:tcPr>
          <w:p w14:paraId="6223FFE0" w14:textId="77777777" w:rsidR="00C133BC" w:rsidRDefault="00442C7E">
            <w:pPr>
              <w:pBdr>
                <w:top w:val="nil"/>
                <w:left w:val="nil"/>
                <w:bottom w:val="nil"/>
                <w:right w:val="nil"/>
                <w:between w:val="nil"/>
              </w:pBdr>
              <w:spacing w:after="0" w:line="240" w:lineRule="auto"/>
              <w:rPr>
                <w:color w:val="000000"/>
              </w:rPr>
            </w:pPr>
            <w:r>
              <w:rPr>
                <w:color w:val="000000"/>
              </w:rPr>
              <w:t>Port-à-Piment</w:t>
            </w:r>
          </w:p>
        </w:tc>
      </w:tr>
      <w:tr w:rsidR="00C133BC" w14:paraId="6223FFE4"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6223FFE2" w14:textId="77777777" w:rsidR="00C133BC" w:rsidRDefault="00442C7E">
            <w:pPr>
              <w:pBdr>
                <w:top w:val="nil"/>
                <w:left w:val="nil"/>
                <w:bottom w:val="nil"/>
                <w:right w:val="nil"/>
                <w:between w:val="nil"/>
              </w:pBdr>
              <w:spacing w:after="0" w:line="240" w:lineRule="auto"/>
              <w:rPr>
                <w:color w:val="000000"/>
              </w:rPr>
            </w:pPr>
            <w:r>
              <w:rPr>
                <w:color w:val="000000"/>
              </w:rPr>
              <w:t>Sud</w:t>
            </w:r>
          </w:p>
        </w:tc>
        <w:tc>
          <w:tcPr>
            <w:tcW w:w="2348" w:type="dxa"/>
            <w:tcBorders>
              <w:top w:val="nil"/>
              <w:left w:val="nil"/>
              <w:bottom w:val="nil"/>
              <w:right w:val="single" w:sz="12" w:space="0" w:color="000000"/>
            </w:tcBorders>
            <w:tcMar>
              <w:top w:w="0" w:type="dxa"/>
              <w:left w:w="30" w:type="dxa"/>
              <w:bottom w:w="0" w:type="dxa"/>
              <w:right w:w="30" w:type="dxa"/>
            </w:tcMar>
          </w:tcPr>
          <w:p w14:paraId="6223FFE3" w14:textId="77777777" w:rsidR="00C133BC" w:rsidRDefault="00442C7E">
            <w:pPr>
              <w:pBdr>
                <w:top w:val="nil"/>
                <w:left w:val="nil"/>
                <w:bottom w:val="nil"/>
                <w:right w:val="nil"/>
                <w:between w:val="nil"/>
              </w:pBdr>
              <w:spacing w:after="0" w:line="240" w:lineRule="auto"/>
              <w:rPr>
                <w:color w:val="000000"/>
              </w:rPr>
            </w:pPr>
            <w:r>
              <w:rPr>
                <w:color w:val="000000"/>
              </w:rPr>
              <w:t>Port-Salut</w:t>
            </w:r>
          </w:p>
        </w:tc>
      </w:tr>
      <w:tr w:rsidR="00C133BC" w14:paraId="6223FFE7"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6223FFE5" w14:textId="77777777" w:rsidR="00C133BC" w:rsidRDefault="00442C7E">
            <w:pPr>
              <w:pBdr>
                <w:top w:val="nil"/>
                <w:left w:val="nil"/>
                <w:bottom w:val="nil"/>
                <w:right w:val="nil"/>
                <w:between w:val="nil"/>
              </w:pBdr>
              <w:spacing w:after="0" w:line="240" w:lineRule="auto"/>
              <w:rPr>
                <w:color w:val="000000"/>
              </w:rPr>
            </w:pPr>
            <w:r>
              <w:rPr>
                <w:color w:val="000000"/>
              </w:rPr>
              <w:t>Sud</w:t>
            </w:r>
          </w:p>
        </w:tc>
        <w:tc>
          <w:tcPr>
            <w:tcW w:w="2348" w:type="dxa"/>
            <w:tcBorders>
              <w:top w:val="nil"/>
              <w:left w:val="nil"/>
              <w:bottom w:val="nil"/>
              <w:right w:val="single" w:sz="12" w:space="0" w:color="000000"/>
            </w:tcBorders>
            <w:tcMar>
              <w:top w:w="0" w:type="dxa"/>
              <w:left w:w="30" w:type="dxa"/>
              <w:bottom w:w="0" w:type="dxa"/>
              <w:right w:w="30" w:type="dxa"/>
            </w:tcMar>
          </w:tcPr>
          <w:p w14:paraId="6223FFE6" w14:textId="77777777" w:rsidR="00C133BC" w:rsidRDefault="00442C7E">
            <w:pPr>
              <w:pBdr>
                <w:top w:val="nil"/>
                <w:left w:val="nil"/>
                <w:bottom w:val="nil"/>
                <w:right w:val="nil"/>
                <w:between w:val="nil"/>
              </w:pBdr>
              <w:spacing w:after="0" w:line="240" w:lineRule="auto"/>
              <w:rPr>
                <w:color w:val="000000"/>
              </w:rPr>
            </w:pPr>
            <w:r>
              <w:rPr>
                <w:color w:val="000000"/>
              </w:rPr>
              <w:t>Roche-à-</w:t>
            </w:r>
            <w:proofErr w:type="spellStart"/>
            <w:r>
              <w:rPr>
                <w:color w:val="000000"/>
              </w:rPr>
              <w:t>Bâteau</w:t>
            </w:r>
            <w:proofErr w:type="spellEnd"/>
          </w:p>
        </w:tc>
      </w:tr>
      <w:tr w:rsidR="00C133BC" w14:paraId="6223FFEA" w14:textId="77777777">
        <w:trPr>
          <w:trHeight w:val="290"/>
        </w:trPr>
        <w:tc>
          <w:tcPr>
            <w:tcW w:w="1642" w:type="dxa"/>
            <w:tcBorders>
              <w:top w:val="nil"/>
              <w:left w:val="single" w:sz="12" w:space="0" w:color="000000"/>
              <w:bottom w:val="nil"/>
              <w:right w:val="nil"/>
            </w:tcBorders>
            <w:tcMar>
              <w:top w:w="0" w:type="dxa"/>
              <w:left w:w="30" w:type="dxa"/>
              <w:bottom w:w="0" w:type="dxa"/>
              <w:right w:w="30" w:type="dxa"/>
            </w:tcMar>
          </w:tcPr>
          <w:p w14:paraId="6223FFE8" w14:textId="77777777" w:rsidR="00C133BC" w:rsidRDefault="00442C7E">
            <w:pPr>
              <w:pBdr>
                <w:top w:val="nil"/>
                <w:left w:val="nil"/>
                <w:bottom w:val="nil"/>
                <w:right w:val="nil"/>
                <w:between w:val="nil"/>
              </w:pBdr>
              <w:spacing w:after="0" w:line="240" w:lineRule="auto"/>
              <w:rPr>
                <w:color w:val="000000"/>
              </w:rPr>
            </w:pPr>
            <w:r>
              <w:rPr>
                <w:color w:val="000000"/>
              </w:rPr>
              <w:t>Sud</w:t>
            </w:r>
          </w:p>
        </w:tc>
        <w:tc>
          <w:tcPr>
            <w:tcW w:w="2348" w:type="dxa"/>
            <w:tcBorders>
              <w:top w:val="nil"/>
              <w:left w:val="nil"/>
              <w:bottom w:val="nil"/>
              <w:right w:val="single" w:sz="12" w:space="0" w:color="000000"/>
            </w:tcBorders>
            <w:tcMar>
              <w:top w:w="0" w:type="dxa"/>
              <w:left w:w="30" w:type="dxa"/>
              <w:bottom w:w="0" w:type="dxa"/>
              <w:right w:w="30" w:type="dxa"/>
            </w:tcMar>
          </w:tcPr>
          <w:p w14:paraId="6223FFE9" w14:textId="77777777" w:rsidR="00C133BC" w:rsidRDefault="00442C7E">
            <w:pPr>
              <w:pBdr>
                <w:top w:val="nil"/>
                <w:left w:val="nil"/>
                <w:bottom w:val="nil"/>
                <w:right w:val="nil"/>
                <w:between w:val="nil"/>
              </w:pBdr>
              <w:spacing w:after="0" w:line="240" w:lineRule="auto"/>
              <w:rPr>
                <w:color w:val="000000"/>
              </w:rPr>
            </w:pPr>
            <w:r>
              <w:rPr>
                <w:color w:val="000000"/>
              </w:rPr>
              <w:t>Saint Jean du Sud</w:t>
            </w:r>
          </w:p>
        </w:tc>
      </w:tr>
      <w:tr w:rsidR="00C133BC" w14:paraId="6223FFED" w14:textId="77777777">
        <w:trPr>
          <w:trHeight w:val="300"/>
        </w:trPr>
        <w:tc>
          <w:tcPr>
            <w:tcW w:w="1642" w:type="dxa"/>
            <w:tcBorders>
              <w:top w:val="nil"/>
              <w:left w:val="single" w:sz="12" w:space="0" w:color="000000"/>
              <w:bottom w:val="single" w:sz="12" w:space="0" w:color="000000"/>
              <w:right w:val="nil"/>
            </w:tcBorders>
            <w:tcMar>
              <w:top w:w="0" w:type="dxa"/>
              <w:left w:w="30" w:type="dxa"/>
              <w:bottom w:w="0" w:type="dxa"/>
              <w:right w:w="30" w:type="dxa"/>
            </w:tcMar>
          </w:tcPr>
          <w:p w14:paraId="6223FFEB" w14:textId="77777777" w:rsidR="00C133BC" w:rsidRDefault="00442C7E">
            <w:pPr>
              <w:pBdr>
                <w:top w:val="nil"/>
                <w:left w:val="nil"/>
                <w:bottom w:val="nil"/>
                <w:right w:val="nil"/>
                <w:between w:val="nil"/>
              </w:pBdr>
              <w:spacing w:after="0" w:line="240" w:lineRule="auto"/>
              <w:rPr>
                <w:color w:val="000000"/>
              </w:rPr>
            </w:pPr>
            <w:r>
              <w:rPr>
                <w:color w:val="000000"/>
              </w:rPr>
              <w:t>Sud</w:t>
            </w:r>
          </w:p>
        </w:tc>
        <w:tc>
          <w:tcPr>
            <w:tcW w:w="2348" w:type="dxa"/>
            <w:tcBorders>
              <w:top w:val="nil"/>
              <w:left w:val="nil"/>
              <w:bottom w:val="single" w:sz="12" w:space="0" w:color="000000"/>
              <w:right w:val="single" w:sz="12" w:space="0" w:color="000000"/>
            </w:tcBorders>
            <w:tcMar>
              <w:top w:w="0" w:type="dxa"/>
              <w:left w:w="30" w:type="dxa"/>
              <w:bottom w:w="0" w:type="dxa"/>
              <w:right w:w="30" w:type="dxa"/>
            </w:tcMar>
          </w:tcPr>
          <w:p w14:paraId="6223FFEC" w14:textId="77777777" w:rsidR="00C133BC" w:rsidRDefault="00442C7E">
            <w:pPr>
              <w:pBdr>
                <w:top w:val="nil"/>
                <w:left w:val="nil"/>
                <w:bottom w:val="nil"/>
                <w:right w:val="nil"/>
                <w:between w:val="nil"/>
              </w:pBdr>
              <w:spacing w:after="0" w:line="240" w:lineRule="auto"/>
              <w:rPr>
                <w:color w:val="000000"/>
              </w:rPr>
            </w:pPr>
            <w:r>
              <w:rPr>
                <w:color w:val="000000"/>
              </w:rPr>
              <w:t>Torbeck</w:t>
            </w:r>
          </w:p>
        </w:tc>
      </w:tr>
    </w:tbl>
    <w:p w14:paraId="6223FFEE" w14:textId="77777777" w:rsidR="00C133BC" w:rsidRDefault="00C133BC"/>
    <w:p w14:paraId="6223FFEF" w14:textId="77777777" w:rsidR="00C133BC" w:rsidRDefault="00442C7E">
      <w:r>
        <w:br w:type="page"/>
      </w:r>
    </w:p>
    <w:p w14:paraId="6223FFF0" w14:textId="77777777" w:rsidR="00C133BC" w:rsidRDefault="00C133BC"/>
    <w:p w14:paraId="6223FFF1" w14:textId="77777777" w:rsidR="00C133BC" w:rsidRDefault="00442C7E" w:rsidP="001521E4">
      <w:r w:rsidRPr="001521E4">
        <w:rPr>
          <w:color w:val="000000"/>
          <w:sz w:val="27"/>
          <w:szCs w:val="27"/>
        </w:rPr>
        <w:t>Annexe</w:t>
      </w:r>
      <w:r>
        <w:t xml:space="preserve"> 2 : Carte des départements d’intervention de PARE </w:t>
      </w:r>
    </w:p>
    <w:p w14:paraId="6223FFF2" w14:textId="77777777" w:rsidR="00C133BC" w:rsidRDefault="00C133BC">
      <w:pPr>
        <w:tabs>
          <w:tab w:val="center" w:pos="4680"/>
          <w:tab w:val="right" w:pos="9360"/>
        </w:tabs>
        <w:spacing w:after="0" w:line="240" w:lineRule="auto"/>
      </w:pPr>
    </w:p>
    <w:p w14:paraId="6223FFF3" w14:textId="77777777" w:rsidR="00C133BC" w:rsidRDefault="00442C7E">
      <w:pPr>
        <w:tabs>
          <w:tab w:val="center" w:pos="4680"/>
          <w:tab w:val="right" w:pos="9360"/>
        </w:tabs>
        <w:spacing w:after="0" w:line="240" w:lineRule="auto"/>
      </w:pPr>
      <w:r>
        <w:rPr>
          <w:noProof/>
        </w:rPr>
        <w:drawing>
          <wp:inline distT="0" distB="0" distL="0" distR="0" wp14:anchorId="6223FFF8" wp14:editId="6223FFF9">
            <wp:extent cx="5071826" cy="4268788"/>
            <wp:effectExtent l="0" t="0" r="0" b="0"/>
            <wp:docPr id="57677911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1"/>
                    <a:srcRect/>
                    <a:stretch>
                      <a:fillRect/>
                    </a:stretch>
                  </pic:blipFill>
                  <pic:spPr>
                    <a:xfrm>
                      <a:off x="0" y="0"/>
                      <a:ext cx="5071826" cy="4268788"/>
                    </a:xfrm>
                    <a:prstGeom prst="rect">
                      <a:avLst/>
                    </a:prstGeom>
                    <a:ln/>
                  </pic:spPr>
                </pic:pic>
              </a:graphicData>
            </a:graphic>
          </wp:inline>
        </w:drawing>
      </w:r>
    </w:p>
    <w:p w14:paraId="6223FFF4" w14:textId="77777777" w:rsidR="00C133BC" w:rsidRDefault="00C133BC">
      <w:pPr>
        <w:tabs>
          <w:tab w:val="center" w:pos="4680"/>
          <w:tab w:val="right" w:pos="9360"/>
        </w:tabs>
        <w:spacing w:after="0" w:line="240" w:lineRule="auto"/>
      </w:pPr>
    </w:p>
    <w:sectPr w:rsidR="00C133BC">
      <w:headerReference w:type="default" r:id="rId12"/>
      <w:footerReference w:type="default" r:id="rId13"/>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02028" w14:textId="77777777" w:rsidR="00262322" w:rsidRDefault="00262322">
      <w:pPr>
        <w:spacing w:after="0" w:line="240" w:lineRule="auto"/>
      </w:pPr>
      <w:r>
        <w:separator/>
      </w:r>
    </w:p>
  </w:endnote>
  <w:endnote w:type="continuationSeparator" w:id="0">
    <w:p w14:paraId="6AE45330" w14:textId="77777777" w:rsidR="00262322" w:rsidRDefault="002623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ill Sans MT">
    <w:altName w:val="Gill Sans MT"/>
    <w:panose1 w:val="020B0502020104020203"/>
    <w:charset w:val="00"/>
    <w:family w:val="swiss"/>
    <w:pitch w:val="variable"/>
    <w:sig w:usb0="00000007" w:usb1="00000000" w:usb2="00000000" w:usb3="00000000" w:csb0="00000003" w:csb1="00000000"/>
  </w:font>
  <w:font w:name="Gill Sans">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40007" w14:textId="3FBAD484" w:rsidR="00C133BC" w:rsidRDefault="00442C7E">
    <w:pPr>
      <w:spacing w:after="0"/>
    </w:pPr>
    <w:r>
      <w:fldChar w:fldCharType="begin"/>
    </w:r>
    <w:r>
      <w:instrText>PAGE</w:instrText>
    </w:r>
    <w:r>
      <w:fldChar w:fldCharType="separate"/>
    </w:r>
    <w:r w:rsidR="00B861E7">
      <w:rPr>
        <w:noProof/>
      </w:rPr>
      <w:t>1</w:t>
    </w:r>
    <w:r>
      <w:fldChar w:fldCharType="end"/>
    </w:r>
    <w:r>
      <w:rPr>
        <w:b/>
      </w:rPr>
      <w:t xml:space="preserve"> </w:t>
    </w:r>
    <w:r>
      <w:t>|</w:t>
    </w:r>
    <w:r>
      <w:rPr>
        <w:b/>
      </w:rPr>
      <w:t xml:space="preserve"> </w:t>
    </w:r>
    <w:r>
      <w:rPr>
        <w:color w:val="7F7F7F"/>
      </w:rPr>
      <w:t>Page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9B1B73" w14:textId="77777777" w:rsidR="00262322" w:rsidRDefault="00262322">
      <w:pPr>
        <w:spacing w:after="0" w:line="240" w:lineRule="auto"/>
      </w:pPr>
      <w:r>
        <w:separator/>
      </w:r>
    </w:p>
  </w:footnote>
  <w:footnote w:type="continuationSeparator" w:id="0">
    <w:p w14:paraId="394DC96E" w14:textId="77777777" w:rsidR="00262322" w:rsidRDefault="00262322">
      <w:pPr>
        <w:spacing w:after="0" w:line="240" w:lineRule="auto"/>
      </w:pPr>
      <w:r>
        <w:continuationSeparator/>
      </w:r>
    </w:p>
  </w:footnote>
  <w:footnote w:id="1">
    <w:p w14:paraId="6224000C" w14:textId="77777777" w:rsidR="00C133BC" w:rsidRDefault="00442C7E">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szCs w:val="20"/>
        </w:rPr>
        <w:t xml:space="preserve"> Ligne de base du projet PARE en 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40006" w14:textId="57BC168E" w:rsidR="00C133BC" w:rsidRDefault="00C133BC">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C7073"/>
    <w:multiLevelType w:val="multilevel"/>
    <w:tmpl w:val="6710330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17CB6D45"/>
    <w:multiLevelType w:val="multilevel"/>
    <w:tmpl w:val="98D253DC"/>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 w15:restartNumberingAfterBreak="0">
    <w:nsid w:val="19F177B5"/>
    <w:multiLevelType w:val="multilevel"/>
    <w:tmpl w:val="6D5A6D9A"/>
    <w:lvl w:ilvl="0">
      <w:start w:val="1"/>
      <w:numFmt w:val="bullet"/>
      <w:lvlText w:val="●"/>
      <w:lvlJc w:val="left"/>
      <w:pPr>
        <w:ind w:left="510" w:hanging="360"/>
      </w:pPr>
      <w:rPr>
        <w:rFonts w:ascii="Noto Sans Symbols" w:eastAsia="Noto Sans Symbols" w:hAnsi="Noto Sans Symbols" w:cs="Noto Sans Symbols"/>
      </w:rPr>
    </w:lvl>
    <w:lvl w:ilvl="1">
      <w:start w:val="1"/>
      <w:numFmt w:val="bullet"/>
      <w:lvlText w:val="●"/>
      <w:lvlJc w:val="left"/>
      <w:pPr>
        <w:ind w:left="360" w:hanging="360"/>
      </w:pPr>
      <w:rPr>
        <w:rFonts w:ascii="Noto Sans Symbols" w:eastAsia="Noto Sans Symbols" w:hAnsi="Noto Sans Symbols" w:cs="Noto Sans Symbols"/>
      </w:rPr>
    </w:lvl>
    <w:lvl w:ilvl="2">
      <w:start w:val="1"/>
      <w:numFmt w:val="bullet"/>
      <w:lvlText w:val="▪"/>
      <w:lvlJc w:val="left"/>
      <w:pPr>
        <w:ind w:left="1950" w:hanging="360"/>
      </w:pPr>
      <w:rPr>
        <w:rFonts w:ascii="Noto Sans Symbols" w:eastAsia="Noto Sans Symbols" w:hAnsi="Noto Sans Symbols" w:cs="Noto Sans Symbols"/>
      </w:rPr>
    </w:lvl>
    <w:lvl w:ilvl="3">
      <w:start w:val="1"/>
      <w:numFmt w:val="bullet"/>
      <w:lvlText w:val="●"/>
      <w:lvlJc w:val="left"/>
      <w:pPr>
        <w:ind w:left="2670" w:hanging="360"/>
      </w:pPr>
      <w:rPr>
        <w:rFonts w:ascii="Noto Sans Symbols" w:eastAsia="Noto Sans Symbols" w:hAnsi="Noto Sans Symbols" w:cs="Noto Sans Symbols"/>
      </w:rPr>
    </w:lvl>
    <w:lvl w:ilvl="4">
      <w:start w:val="1"/>
      <w:numFmt w:val="bullet"/>
      <w:lvlText w:val="o"/>
      <w:lvlJc w:val="left"/>
      <w:pPr>
        <w:ind w:left="3390" w:hanging="360"/>
      </w:pPr>
      <w:rPr>
        <w:rFonts w:ascii="Courier New" w:eastAsia="Courier New" w:hAnsi="Courier New" w:cs="Courier New"/>
      </w:rPr>
    </w:lvl>
    <w:lvl w:ilvl="5">
      <w:start w:val="1"/>
      <w:numFmt w:val="bullet"/>
      <w:lvlText w:val="▪"/>
      <w:lvlJc w:val="left"/>
      <w:pPr>
        <w:ind w:left="4110" w:hanging="360"/>
      </w:pPr>
      <w:rPr>
        <w:rFonts w:ascii="Noto Sans Symbols" w:eastAsia="Noto Sans Symbols" w:hAnsi="Noto Sans Symbols" w:cs="Noto Sans Symbols"/>
      </w:rPr>
    </w:lvl>
    <w:lvl w:ilvl="6">
      <w:start w:val="1"/>
      <w:numFmt w:val="bullet"/>
      <w:lvlText w:val="●"/>
      <w:lvlJc w:val="left"/>
      <w:pPr>
        <w:ind w:left="4830" w:hanging="360"/>
      </w:pPr>
      <w:rPr>
        <w:rFonts w:ascii="Noto Sans Symbols" w:eastAsia="Noto Sans Symbols" w:hAnsi="Noto Sans Symbols" w:cs="Noto Sans Symbols"/>
      </w:rPr>
    </w:lvl>
    <w:lvl w:ilvl="7">
      <w:start w:val="1"/>
      <w:numFmt w:val="bullet"/>
      <w:lvlText w:val="o"/>
      <w:lvlJc w:val="left"/>
      <w:pPr>
        <w:ind w:left="5550" w:hanging="360"/>
      </w:pPr>
      <w:rPr>
        <w:rFonts w:ascii="Courier New" w:eastAsia="Courier New" w:hAnsi="Courier New" w:cs="Courier New"/>
      </w:rPr>
    </w:lvl>
    <w:lvl w:ilvl="8">
      <w:start w:val="1"/>
      <w:numFmt w:val="bullet"/>
      <w:lvlText w:val="▪"/>
      <w:lvlJc w:val="left"/>
      <w:pPr>
        <w:ind w:left="6270" w:hanging="360"/>
      </w:pPr>
      <w:rPr>
        <w:rFonts w:ascii="Noto Sans Symbols" w:eastAsia="Noto Sans Symbols" w:hAnsi="Noto Sans Symbols" w:cs="Noto Sans Symbols"/>
      </w:rPr>
    </w:lvl>
  </w:abstractNum>
  <w:abstractNum w:abstractNumId="3" w15:restartNumberingAfterBreak="0">
    <w:nsid w:val="2B145926"/>
    <w:multiLevelType w:val="multilevel"/>
    <w:tmpl w:val="9B0CA8B4"/>
    <w:lvl w:ilvl="0">
      <w:start w:val="1"/>
      <w:numFmt w:val="bullet"/>
      <w:lvlText w:val="●"/>
      <w:lvlJc w:val="left"/>
      <w:pPr>
        <w:ind w:left="510" w:hanging="360"/>
      </w:pPr>
      <w:rPr>
        <w:rFonts w:ascii="Noto Sans Symbols" w:eastAsia="Noto Sans Symbols" w:hAnsi="Noto Sans Symbols" w:cs="Noto Sans Symbols"/>
      </w:rPr>
    </w:lvl>
    <w:lvl w:ilvl="1">
      <w:start w:val="1"/>
      <w:numFmt w:val="bullet"/>
      <w:lvlText w:val="o"/>
      <w:lvlJc w:val="left"/>
      <w:pPr>
        <w:ind w:left="1230" w:hanging="360"/>
      </w:pPr>
      <w:rPr>
        <w:rFonts w:ascii="Courier New" w:eastAsia="Courier New" w:hAnsi="Courier New" w:cs="Courier New"/>
      </w:rPr>
    </w:lvl>
    <w:lvl w:ilvl="2">
      <w:start w:val="1"/>
      <w:numFmt w:val="bullet"/>
      <w:lvlText w:val="▪"/>
      <w:lvlJc w:val="left"/>
      <w:pPr>
        <w:ind w:left="1950" w:hanging="360"/>
      </w:pPr>
      <w:rPr>
        <w:rFonts w:ascii="Noto Sans Symbols" w:eastAsia="Noto Sans Symbols" w:hAnsi="Noto Sans Symbols" w:cs="Noto Sans Symbols"/>
      </w:rPr>
    </w:lvl>
    <w:lvl w:ilvl="3">
      <w:start w:val="1"/>
      <w:numFmt w:val="bullet"/>
      <w:lvlText w:val="●"/>
      <w:lvlJc w:val="left"/>
      <w:pPr>
        <w:ind w:left="2670" w:hanging="360"/>
      </w:pPr>
      <w:rPr>
        <w:rFonts w:ascii="Noto Sans Symbols" w:eastAsia="Noto Sans Symbols" w:hAnsi="Noto Sans Symbols" w:cs="Noto Sans Symbols"/>
      </w:rPr>
    </w:lvl>
    <w:lvl w:ilvl="4">
      <w:start w:val="1"/>
      <w:numFmt w:val="bullet"/>
      <w:lvlText w:val="o"/>
      <w:lvlJc w:val="left"/>
      <w:pPr>
        <w:ind w:left="3390" w:hanging="360"/>
      </w:pPr>
      <w:rPr>
        <w:rFonts w:ascii="Courier New" w:eastAsia="Courier New" w:hAnsi="Courier New" w:cs="Courier New"/>
      </w:rPr>
    </w:lvl>
    <w:lvl w:ilvl="5">
      <w:start w:val="1"/>
      <w:numFmt w:val="bullet"/>
      <w:lvlText w:val="▪"/>
      <w:lvlJc w:val="left"/>
      <w:pPr>
        <w:ind w:left="4110" w:hanging="360"/>
      </w:pPr>
      <w:rPr>
        <w:rFonts w:ascii="Noto Sans Symbols" w:eastAsia="Noto Sans Symbols" w:hAnsi="Noto Sans Symbols" w:cs="Noto Sans Symbols"/>
      </w:rPr>
    </w:lvl>
    <w:lvl w:ilvl="6">
      <w:start w:val="1"/>
      <w:numFmt w:val="bullet"/>
      <w:lvlText w:val="●"/>
      <w:lvlJc w:val="left"/>
      <w:pPr>
        <w:ind w:left="4830" w:hanging="360"/>
      </w:pPr>
      <w:rPr>
        <w:rFonts w:ascii="Noto Sans Symbols" w:eastAsia="Noto Sans Symbols" w:hAnsi="Noto Sans Symbols" w:cs="Noto Sans Symbols"/>
      </w:rPr>
    </w:lvl>
    <w:lvl w:ilvl="7">
      <w:start w:val="1"/>
      <w:numFmt w:val="bullet"/>
      <w:lvlText w:val="o"/>
      <w:lvlJc w:val="left"/>
      <w:pPr>
        <w:ind w:left="5550" w:hanging="360"/>
      </w:pPr>
      <w:rPr>
        <w:rFonts w:ascii="Courier New" w:eastAsia="Courier New" w:hAnsi="Courier New" w:cs="Courier New"/>
      </w:rPr>
    </w:lvl>
    <w:lvl w:ilvl="8">
      <w:start w:val="1"/>
      <w:numFmt w:val="bullet"/>
      <w:lvlText w:val="▪"/>
      <w:lvlJc w:val="left"/>
      <w:pPr>
        <w:ind w:left="6270" w:hanging="360"/>
      </w:pPr>
      <w:rPr>
        <w:rFonts w:ascii="Noto Sans Symbols" w:eastAsia="Noto Sans Symbols" w:hAnsi="Noto Sans Symbols" w:cs="Noto Sans Symbols"/>
      </w:rPr>
    </w:lvl>
  </w:abstractNum>
  <w:abstractNum w:abstractNumId="4" w15:restartNumberingAfterBreak="0">
    <w:nsid w:val="33B4445F"/>
    <w:multiLevelType w:val="multilevel"/>
    <w:tmpl w:val="52FE5FF0"/>
    <w:lvl w:ilvl="0">
      <w:start w:val="1"/>
      <w:numFmt w:val="bullet"/>
      <w:lvlText w:val="●"/>
      <w:lvlJc w:val="left"/>
      <w:pPr>
        <w:ind w:left="510" w:hanging="360"/>
      </w:pPr>
      <w:rPr>
        <w:rFonts w:ascii="Noto Sans Symbols" w:eastAsia="Noto Sans Symbols" w:hAnsi="Noto Sans Symbols" w:cs="Noto Sans Symbols"/>
      </w:rPr>
    </w:lvl>
    <w:lvl w:ilvl="1">
      <w:numFmt w:val="bullet"/>
      <w:lvlText w:val="-"/>
      <w:lvlJc w:val="left"/>
      <w:pPr>
        <w:ind w:left="360" w:hanging="360"/>
      </w:pPr>
      <w:rPr>
        <w:rFonts w:ascii="Calibri" w:eastAsia="Calibri" w:hAnsi="Calibri" w:cs="Calibri"/>
      </w:rPr>
    </w:lvl>
    <w:lvl w:ilvl="2">
      <w:start w:val="1"/>
      <w:numFmt w:val="bullet"/>
      <w:lvlText w:val="▪"/>
      <w:lvlJc w:val="left"/>
      <w:pPr>
        <w:ind w:left="1950" w:hanging="360"/>
      </w:pPr>
      <w:rPr>
        <w:rFonts w:ascii="Noto Sans Symbols" w:eastAsia="Noto Sans Symbols" w:hAnsi="Noto Sans Symbols" w:cs="Noto Sans Symbols"/>
      </w:rPr>
    </w:lvl>
    <w:lvl w:ilvl="3">
      <w:start w:val="1"/>
      <w:numFmt w:val="bullet"/>
      <w:lvlText w:val="●"/>
      <w:lvlJc w:val="left"/>
      <w:pPr>
        <w:ind w:left="2670" w:hanging="360"/>
      </w:pPr>
      <w:rPr>
        <w:rFonts w:ascii="Noto Sans Symbols" w:eastAsia="Noto Sans Symbols" w:hAnsi="Noto Sans Symbols" w:cs="Noto Sans Symbols"/>
      </w:rPr>
    </w:lvl>
    <w:lvl w:ilvl="4">
      <w:start w:val="1"/>
      <w:numFmt w:val="bullet"/>
      <w:lvlText w:val="o"/>
      <w:lvlJc w:val="left"/>
      <w:pPr>
        <w:ind w:left="3390" w:hanging="360"/>
      </w:pPr>
      <w:rPr>
        <w:rFonts w:ascii="Courier New" w:eastAsia="Courier New" w:hAnsi="Courier New" w:cs="Courier New"/>
      </w:rPr>
    </w:lvl>
    <w:lvl w:ilvl="5">
      <w:start w:val="1"/>
      <w:numFmt w:val="bullet"/>
      <w:lvlText w:val="▪"/>
      <w:lvlJc w:val="left"/>
      <w:pPr>
        <w:ind w:left="4110" w:hanging="360"/>
      </w:pPr>
      <w:rPr>
        <w:rFonts w:ascii="Noto Sans Symbols" w:eastAsia="Noto Sans Symbols" w:hAnsi="Noto Sans Symbols" w:cs="Noto Sans Symbols"/>
      </w:rPr>
    </w:lvl>
    <w:lvl w:ilvl="6">
      <w:start w:val="1"/>
      <w:numFmt w:val="bullet"/>
      <w:lvlText w:val="●"/>
      <w:lvlJc w:val="left"/>
      <w:pPr>
        <w:ind w:left="4830" w:hanging="360"/>
      </w:pPr>
      <w:rPr>
        <w:rFonts w:ascii="Noto Sans Symbols" w:eastAsia="Noto Sans Symbols" w:hAnsi="Noto Sans Symbols" w:cs="Noto Sans Symbols"/>
      </w:rPr>
    </w:lvl>
    <w:lvl w:ilvl="7">
      <w:start w:val="1"/>
      <w:numFmt w:val="bullet"/>
      <w:lvlText w:val="o"/>
      <w:lvlJc w:val="left"/>
      <w:pPr>
        <w:ind w:left="5550" w:hanging="360"/>
      </w:pPr>
      <w:rPr>
        <w:rFonts w:ascii="Courier New" w:eastAsia="Courier New" w:hAnsi="Courier New" w:cs="Courier New"/>
      </w:rPr>
    </w:lvl>
    <w:lvl w:ilvl="8">
      <w:start w:val="1"/>
      <w:numFmt w:val="bullet"/>
      <w:lvlText w:val="▪"/>
      <w:lvlJc w:val="left"/>
      <w:pPr>
        <w:ind w:left="6270" w:hanging="360"/>
      </w:pPr>
      <w:rPr>
        <w:rFonts w:ascii="Noto Sans Symbols" w:eastAsia="Noto Sans Symbols" w:hAnsi="Noto Sans Symbols" w:cs="Noto Sans Symbols"/>
      </w:rPr>
    </w:lvl>
  </w:abstractNum>
  <w:abstractNum w:abstractNumId="5" w15:restartNumberingAfterBreak="0">
    <w:nsid w:val="33EA5448"/>
    <w:multiLevelType w:val="multilevel"/>
    <w:tmpl w:val="27508D2C"/>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31D0B9E"/>
    <w:multiLevelType w:val="multilevel"/>
    <w:tmpl w:val="C3EA6D0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717D2B31"/>
    <w:multiLevelType w:val="multilevel"/>
    <w:tmpl w:val="72140A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7B68274D"/>
    <w:multiLevelType w:val="multilevel"/>
    <w:tmpl w:val="CFD235F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823547944">
    <w:abstractNumId w:val="2"/>
  </w:num>
  <w:num w:numId="2" w16cid:durableId="1160659475">
    <w:abstractNumId w:val="5"/>
  </w:num>
  <w:num w:numId="3" w16cid:durableId="481897304">
    <w:abstractNumId w:val="4"/>
  </w:num>
  <w:num w:numId="4" w16cid:durableId="298729402">
    <w:abstractNumId w:val="8"/>
  </w:num>
  <w:num w:numId="5" w16cid:durableId="1181242538">
    <w:abstractNumId w:val="6"/>
  </w:num>
  <w:num w:numId="6" w16cid:durableId="1772895820">
    <w:abstractNumId w:val="0"/>
  </w:num>
  <w:num w:numId="7" w16cid:durableId="1217669913">
    <w:abstractNumId w:val="7"/>
  </w:num>
  <w:num w:numId="8" w16cid:durableId="934168742">
    <w:abstractNumId w:val="3"/>
  </w:num>
  <w:num w:numId="9" w16cid:durableId="1204947550">
    <w:abstractNumId w:val="1"/>
  </w:num>
  <w:num w:numId="10" w16cid:durableId="1205288156">
    <w:abstractNumId w:val="1"/>
  </w:num>
  <w:num w:numId="11" w16cid:durableId="1965843517">
    <w:abstractNumId w:val="1"/>
  </w:num>
  <w:num w:numId="12" w16cid:durableId="54438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33BC"/>
    <w:rsid w:val="000A4B0F"/>
    <w:rsid w:val="000E1472"/>
    <w:rsid w:val="001521E4"/>
    <w:rsid w:val="001B1992"/>
    <w:rsid w:val="001B2217"/>
    <w:rsid w:val="001C5771"/>
    <w:rsid w:val="00226A77"/>
    <w:rsid w:val="00231AB9"/>
    <w:rsid w:val="00246C5B"/>
    <w:rsid w:val="00254BE1"/>
    <w:rsid w:val="00262322"/>
    <w:rsid w:val="003C4A28"/>
    <w:rsid w:val="003E4D2F"/>
    <w:rsid w:val="003F5873"/>
    <w:rsid w:val="003F7214"/>
    <w:rsid w:val="00415FAB"/>
    <w:rsid w:val="00442C7E"/>
    <w:rsid w:val="00480955"/>
    <w:rsid w:val="004A75C1"/>
    <w:rsid w:val="005F0D08"/>
    <w:rsid w:val="00610E3A"/>
    <w:rsid w:val="00621ED2"/>
    <w:rsid w:val="006347C1"/>
    <w:rsid w:val="0065133F"/>
    <w:rsid w:val="006E1A36"/>
    <w:rsid w:val="007A7C7D"/>
    <w:rsid w:val="007E119F"/>
    <w:rsid w:val="007E5895"/>
    <w:rsid w:val="00802939"/>
    <w:rsid w:val="008E29BA"/>
    <w:rsid w:val="0090349A"/>
    <w:rsid w:val="009059A9"/>
    <w:rsid w:val="00913B2D"/>
    <w:rsid w:val="00930237"/>
    <w:rsid w:val="00A430D2"/>
    <w:rsid w:val="00A82BD8"/>
    <w:rsid w:val="00AF1D4B"/>
    <w:rsid w:val="00B861E7"/>
    <w:rsid w:val="00C133BC"/>
    <w:rsid w:val="00C64FE5"/>
    <w:rsid w:val="00C7511C"/>
    <w:rsid w:val="00D152E8"/>
    <w:rsid w:val="00D86BA9"/>
    <w:rsid w:val="00D87743"/>
    <w:rsid w:val="00E04B38"/>
    <w:rsid w:val="00E04E89"/>
    <w:rsid w:val="00E65261"/>
    <w:rsid w:val="00F24521"/>
    <w:rsid w:val="00F71FE7"/>
    <w:rsid w:val="00F914F9"/>
    <w:rsid w:val="00FA1A38"/>
    <w:rsid w:val="00FA7C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223FEC8"/>
  <w15:docId w15:val="{A52D2A57-9D73-4152-A4B4-36C8A194B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fr-H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2197E"/>
    <w:pPr>
      <w:keepNext/>
      <w:keepLines/>
      <w:numPr>
        <w:numId w:val="9"/>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2197E"/>
    <w:pPr>
      <w:keepNext/>
      <w:keepLines/>
      <w:numPr>
        <w:ilvl w:val="1"/>
        <w:numId w:val="9"/>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32197E"/>
    <w:pPr>
      <w:keepNext/>
      <w:keepLines/>
      <w:numPr>
        <w:ilvl w:val="2"/>
        <w:numId w:val="9"/>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32197E"/>
    <w:pPr>
      <w:keepNext/>
      <w:keepLines/>
      <w:numPr>
        <w:ilvl w:val="3"/>
        <w:numId w:val="9"/>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32197E"/>
    <w:pPr>
      <w:keepNext/>
      <w:keepLines/>
      <w:numPr>
        <w:ilvl w:val="4"/>
        <w:numId w:val="9"/>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32197E"/>
    <w:pPr>
      <w:keepNext/>
      <w:keepLines/>
      <w:numPr>
        <w:ilvl w:val="5"/>
        <w:numId w:val="9"/>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32197E"/>
    <w:pPr>
      <w:keepNext/>
      <w:keepLines/>
      <w:numPr>
        <w:ilvl w:val="6"/>
        <w:numId w:val="9"/>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32197E"/>
    <w:pPr>
      <w:keepNext/>
      <w:keepLines/>
      <w:numPr>
        <w:ilvl w:val="7"/>
        <w:numId w:val="9"/>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2197E"/>
    <w:pPr>
      <w:keepNext/>
      <w:keepLines/>
      <w:numPr>
        <w:ilvl w:val="8"/>
        <w:numId w:val="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024B9C"/>
    <w:pPr>
      <w:ind w:left="720"/>
      <w:contextualSpacing/>
    </w:pPr>
  </w:style>
  <w:style w:type="paragraph" w:styleId="FootnoteText">
    <w:name w:val="footnote text"/>
    <w:basedOn w:val="Normal"/>
    <w:link w:val="FootnoteTextChar"/>
    <w:uiPriority w:val="99"/>
    <w:semiHidden/>
    <w:unhideWhenUsed/>
    <w:rsid w:val="00060A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60A79"/>
    <w:rPr>
      <w:sz w:val="20"/>
      <w:szCs w:val="20"/>
    </w:rPr>
  </w:style>
  <w:style w:type="character" w:styleId="FootnoteReference">
    <w:name w:val="footnote reference"/>
    <w:basedOn w:val="DefaultParagraphFont"/>
    <w:uiPriority w:val="99"/>
    <w:semiHidden/>
    <w:unhideWhenUsed/>
    <w:rsid w:val="00060A79"/>
    <w:rPr>
      <w:vertAlign w:val="superscript"/>
    </w:rPr>
  </w:style>
  <w:style w:type="character" w:styleId="CommentReference">
    <w:name w:val="annotation reference"/>
    <w:basedOn w:val="DefaultParagraphFont"/>
    <w:uiPriority w:val="99"/>
    <w:semiHidden/>
    <w:unhideWhenUsed/>
    <w:rsid w:val="00A315F9"/>
    <w:rPr>
      <w:sz w:val="16"/>
      <w:szCs w:val="16"/>
    </w:rPr>
  </w:style>
  <w:style w:type="paragraph" w:styleId="CommentText">
    <w:name w:val="annotation text"/>
    <w:basedOn w:val="Normal"/>
    <w:link w:val="CommentTextChar"/>
    <w:uiPriority w:val="99"/>
    <w:unhideWhenUsed/>
    <w:rsid w:val="00A315F9"/>
    <w:pPr>
      <w:spacing w:line="240" w:lineRule="auto"/>
    </w:pPr>
    <w:rPr>
      <w:sz w:val="20"/>
      <w:szCs w:val="20"/>
    </w:rPr>
  </w:style>
  <w:style w:type="character" w:customStyle="1" w:styleId="CommentTextChar">
    <w:name w:val="Comment Text Char"/>
    <w:basedOn w:val="DefaultParagraphFont"/>
    <w:link w:val="CommentText"/>
    <w:uiPriority w:val="99"/>
    <w:rsid w:val="00A315F9"/>
    <w:rPr>
      <w:sz w:val="20"/>
      <w:szCs w:val="20"/>
    </w:rPr>
  </w:style>
  <w:style w:type="paragraph" w:styleId="CommentSubject">
    <w:name w:val="annotation subject"/>
    <w:basedOn w:val="CommentText"/>
    <w:next w:val="CommentText"/>
    <w:link w:val="CommentSubjectChar"/>
    <w:uiPriority w:val="99"/>
    <w:semiHidden/>
    <w:unhideWhenUsed/>
    <w:rsid w:val="00A315F9"/>
    <w:rPr>
      <w:b/>
      <w:bCs/>
    </w:rPr>
  </w:style>
  <w:style w:type="character" w:customStyle="1" w:styleId="CommentSubjectChar">
    <w:name w:val="Comment Subject Char"/>
    <w:basedOn w:val="CommentTextChar"/>
    <w:link w:val="CommentSubject"/>
    <w:uiPriority w:val="99"/>
    <w:semiHidden/>
    <w:rsid w:val="00A315F9"/>
    <w:rPr>
      <w:b/>
      <w:bCs/>
      <w:sz w:val="20"/>
      <w:szCs w:val="20"/>
    </w:rPr>
  </w:style>
  <w:style w:type="paragraph" w:styleId="Revision">
    <w:name w:val="Revision"/>
    <w:hidden/>
    <w:uiPriority w:val="99"/>
    <w:semiHidden/>
    <w:rsid w:val="00137CA8"/>
    <w:pPr>
      <w:spacing w:after="0" w:line="240" w:lineRule="auto"/>
    </w:pPr>
  </w:style>
  <w:style w:type="table" w:styleId="TableGrid">
    <w:name w:val="Table Grid"/>
    <w:basedOn w:val="TableNormal"/>
    <w:uiPriority w:val="39"/>
    <w:rsid w:val="00876803"/>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Normal"/>
    <w:rsid w:val="00876803"/>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Spacing">
    <w:name w:val="No Spacing"/>
    <w:uiPriority w:val="1"/>
    <w:qFormat/>
    <w:rsid w:val="006D371B"/>
    <w:pPr>
      <w:spacing w:after="0" w:line="240" w:lineRule="auto"/>
    </w:pPr>
    <w:rPr>
      <w:lang w:val="en-US"/>
    </w:rPr>
  </w:style>
  <w:style w:type="character" w:customStyle="1" w:styleId="Heading1Char">
    <w:name w:val="Heading 1 Char"/>
    <w:basedOn w:val="DefaultParagraphFont"/>
    <w:link w:val="Heading1"/>
    <w:uiPriority w:val="9"/>
    <w:rsid w:val="0032197E"/>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32197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32197E"/>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32197E"/>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32197E"/>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32197E"/>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32197E"/>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32197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2197E"/>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uiPriority w:val="99"/>
    <w:unhideWhenUsed/>
    <w:rsid w:val="00982A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2A0C"/>
  </w:style>
  <w:style w:type="paragraph" w:styleId="Footer">
    <w:name w:val="footer"/>
    <w:basedOn w:val="Normal"/>
    <w:link w:val="FooterChar"/>
    <w:uiPriority w:val="99"/>
    <w:unhideWhenUsed/>
    <w:rsid w:val="00982A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2A0C"/>
  </w:style>
  <w:style w:type="paragraph" w:styleId="TOCHeading">
    <w:name w:val="TOC Heading"/>
    <w:basedOn w:val="Heading1"/>
    <w:next w:val="Normal"/>
    <w:uiPriority w:val="39"/>
    <w:unhideWhenUsed/>
    <w:qFormat/>
    <w:rsid w:val="008201F0"/>
    <w:pPr>
      <w:numPr>
        <w:numId w:val="0"/>
      </w:numPr>
      <w:outlineLvl w:val="9"/>
    </w:pPr>
    <w:rPr>
      <w:lang w:val="en-US"/>
    </w:rPr>
  </w:style>
  <w:style w:type="paragraph" w:styleId="TOC1">
    <w:name w:val="toc 1"/>
    <w:basedOn w:val="Normal"/>
    <w:next w:val="Normal"/>
    <w:autoRedefine/>
    <w:uiPriority w:val="39"/>
    <w:unhideWhenUsed/>
    <w:rsid w:val="008201F0"/>
    <w:pPr>
      <w:spacing w:after="100"/>
    </w:pPr>
  </w:style>
  <w:style w:type="paragraph" w:styleId="TOC2">
    <w:name w:val="toc 2"/>
    <w:basedOn w:val="Normal"/>
    <w:next w:val="Normal"/>
    <w:autoRedefine/>
    <w:uiPriority w:val="39"/>
    <w:unhideWhenUsed/>
    <w:rsid w:val="008201F0"/>
    <w:pPr>
      <w:spacing w:after="100"/>
      <w:ind w:left="220"/>
    </w:pPr>
  </w:style>
  <w:style w:type="character" w:styleId="Hyperlink">
    <w:name w:val="Hyperlink"/>
    <w:basedOn w:val="DefaultParagraphFont"/>
    <w:uiPriority w:val="99"/>
    <w:unhideWhenUsed/>
    <w:rsid w:val="008201F0"/>
    <w:rPr>
      <w:color w:val="0563C1" w:themeColor="hyperlink"/>
      <w:u w:val="single"/>
    </w:rPr>
  </w:style>
  <w:style w:type="paragraph" w:customStyle="1" w:styleId="xmsonormal">
    <w:name w:val="x_msonormal"/>
    <w:basedOn w:val="Normal"/>
    <w:rsid w:val="002C4197"/>
    <w:pPr>
      <w:spacing w:after="0" w:line="240" w:lineRule="auto"/>
    </w:pPr>
    <w:rPr>
      <w:lang w:val="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character" w:customStyle="1" w:styleId="cf01">
    <w:name w:val="cf01"/>
    <w:basedOn w:val="DefaultParagraphFont"/>
    <w:rsid w:val="006347C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rocurementspare@landolakes.com" TargetMode="External"/><Relationship Id="rId4" Type="http://schemas.openxmlformats.org/officeDocument/2006/relationships/settings" Target="settings.xml"/><Relationship Id="rId9" Type="http://schemas.openxmlformats.org/officeDocument/2006/relationships/hyperlink" Target="mailto:procurementspare@landolakes.com"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iVKK7f1S4YiaOvxHWJ3aEyAvJg==">CgMxLjAaJwoBMBIiCiAIBCocCgtBQUFCS05BN1dTSRAIGgtBQUFCS05BN1dTSRoaCgExEhUKEwgEKg8KC0FBQUJLT2hyYkJJEAEaGgoBMhIVChMIBCoPCgtBQUFCS09ocmJCSRACGhoKATMSFQoTCAQqDwoLQUFBQktPaHJiQlEQARoaCgE0EhUKEwgEKg8KC0FBQUJLT2hyYkJREAIaJwoBNRIiCiAIBCocCgtBQUFCS09ocmJIQRAIGgtBQUFCS09ocmJIQRoaCgE2EhUKEwgEKg8KC0FBQUJLT2hyYkdzEAEaGgoBNxIVChMIBCoPCgtBQUFCS09ocmJHcxACGicKATgSIgogCAQqHAoLQUFBQktPaHJiSDgQCBoLQUFBQktPaHJiSDgaJwoBORIiCiAIBCocCgtBQUFCS09ocmJJdxAIGgtBQUFCS09ocmJJdxooCgIxMBIiCiAIBCocCgtBQUFCS1BRM3N5NBAIGgtBQUFCS1BRM3N5NBooCgIxMRIiCiAIBCocCgtBQUFCS09ocmJKcxAIGgtBQUFCS09ocmJKcxooCgIxMhIiCiAIBCocCgtBQUFCS05BN1dSNBAIGgtBQUFCS05BN1dSNBooCgIxMxIiCiAIBCocCgtBQUFCS05BN1dSNBAIGgtBQUFCS09ocmJKdyK3AgoLQUFBQktOQTdXU0kShQIKC0FBQUJLTkE3V1NJEgtBQUFCS05BN1dTSRopCgl0ZXh0L2h0bWwSHGNvbmZpcm0gdGhlIGJyYW5kaW5nL21hcmtpbmciKgoKdGV4dC9wbGFpbhIcY29uZmlybSB0aGUgYnJhbmRpbmcvbWFya2luZyobIhUxMDg5OTE2MTMzMDcwMTQ1ODE2MTUoADgAMJXU3LrnMTiV1Ny65zFKIwoKdGV4dC9wbGFpbhIVVGVybWVzIGRlIFLDqWbDqXJlbmNlWgxqcXVsMnpoamF5eWxyAiAAeACaAQYIABAAGACqAR4SHGNvbmZpcm0gdGhlIGJyYW5kaW5nL21hcmtpbmewAQC4AQAYldTcuucxIJXU3LrnMTAAQhBraXguNTJ5cGtrN3RuYWpzIvsSCgtBQUFCS09ocmJJdxLJEgoLQUFBQktPaHJiSXcSC0FBQUJLT2hyYkl3GpwECgl0ZXh0L2h0bWwSjgRlc3QgY2UgcXUmIzM5O2lsIG4mIzM5O2EgcGFzIGxpZXUgZGUgcXVhbnRpZmllciBhdXNzaSBsZXMgcHJpbmNpcGFsZXMgZXNwZWNlcyBwb3VyIGF2b2lyIHVuZSBpZGVlIHN1ciBsZSBwb3RlbnRpZWwgY29tbWVyY2lhbD8gRXQgamUgcGVuc2UgcXUmIzM5O2lsIGZhdXQgYXVzc2kgYWpvdXRlciBsJiMzOTthbmFseXNlIHByb21hdG9sb2dpcXVlIGV0IGxhIGNvbGxlY3RlIGRlcyBlY2hhbnRpbGxvbnMgZGV2cmFpdCBldHJlIHJlYWxpc2VlIGVuIG1lbWUgdGVtcHMgcXVlIGwmIzM5O2ludmVudGFpcmU8YnI+PGJyPkwmIzM5O2V0dWRlIGRldnJhaXQgZMOpdmVsb3BwZXIgdW5lIGNvbXByw6loZW5zaW9uIGTDqXRhaWxsw6llIGRlcyBxdWFudGl0w6lzLCBkZXMgcXVhbGl0w6lzLCBkZXMgZmFjdGV1cnMgYW50aW51dHJpdGlmcywgZGVzIGVtcGxhY2VtZW50cywgZGVzIHNhaXNvbnMgZGU8YnI+ZGlzdHJpYnV0aW9uLCBwcml4IGV0IGFjY2Vzc2liaWxpdMOpIGRlcyByZXNzb3VyY2VzIGRlcyBwcmluY2lwYWxlcyBlc3BlY2VzIvwDCgp0ZXh0L3BsYWluEu0DZXN0IGNlIHF1J2lsIG4nYSBwYXMgbGlldSBkZSBxdWFudGlmaWVyIGF1c3NpIGxlcyBwcmluY2lwYWxlcyBlc3BlY2VzIHBvdXIgYXZvaXIgdW5lIGlkZWUgc3VyIGxlIHBvdGVudGllbCBjb21tZXJjaWFsPyBFdCBqZSBwZW5zZSBxdSdpbCBmYXV0IGF1c3NpIGFqb3V0ZXIgbCdhbmFseXNlIHByb21hdG9sb2dpcXVlIGV0IGxhIGNvbGxlY3RlIGRlcyBlY2hhbnRpbGxvbnMgZGV2cmFpdCBldHJlIHJlYWxpc2VlIGVuIG1lbWUgdGVtcHMgcXVlIGwnaW52ZW50YWlyZQoKTCdldHVkZSBkZXZyYWl0IGTDqXZlbG9wcGVyIHVuZSBjb21wcsOpaGVuc2lvbiBkw6l0YWlsbMOpZSBkZXMgcXVhbnRpdMOpcywgZGVzIHF1YWxpdMOpcywgZGVzIGZhY3RldXJzIGFudGludXRyaXRpZnMsIGRlcyBlbXBsYWNlbWVudHMsIGRlcyBzYWlzb25zIGRlCmRpc3RyaWJ1dGlvbiwgcHJpeCBldCBhY2Nlc3NpYmlsaXTDqSBkZXMgcmVzc291cmNlcyBkZXMgcHJpbmNpcGFsZXMgZXNwZWNlcyobIhUxMDE0Njk4NDEwNzkxMTk5MTMyMzYoADgAMPC10dXnMTjGr/PV5zFKqwUKCnRleHQvcGxhaW4SnAVJbCBz4oCZYWdpdCBk4oCZaW52ZW50b3JpZXIgZXQgZGUgY2FydG9ncmFwaGllciBsZXMgZXNww6hjZXMgZXQgdmFyacOpdMOpcyBkZSBmb3VycmFnZXMgZGFucyBsYSB6b25lIGTigJlpbnRlcnZlbnRpb24gZGUgUEFSRQpFdmFsdWVyIGzigJlhZMOpcXVhdGlvbiBkZXMgZXNww6hjZXMgZm91cnJhZ8OocmVzIHLDqXNpc3RhbnRlcyBhdSBjbGltYXQKRXZhbHVlciBsZSBwb3RlbnRpZWwgZOKAmWFkw6lxdWF0aW9uIGRlcyBlc3DDqGNlcyBldCB2YXJpw6l0w6lzIGRlIGZvdXJyYWdlcyBpZGVudGlmacOpZXMgYXV4IGNvbmRpdGlvbnMgY2xpbWF0aXF1ZXMgZXhpc3RhbnRlcyBkYW5zIGxhIHpvbmUgZOKAmWludGVydmVudGlvbiBkZSBQQVJFLiAKSWRlbnRpZmllciBsZXMgYmVzb2lucyBldCBwb3RlbnRpZWxzIGRlcyDDqWxldmV1cnMgYXUgcmVnYXJkIGRlIGxhIGRpc3BvbmliaWxpdMOpIGRhbnMgbOKAmWFpcmUgZOKAmWludGVydmVudGlvbiBkZSBQQVJFCkzigJlvYmplY3RpZiAyLjQgdmlzZSDDoCBhbmFseXNlciBldCBjb21wcmVuZHJlIGxlcyBiZXNvaW5zIGV0IGxlcyBwb3RlbnRpZWxzIGRlcyDDqWxldmV1cnMgZW4gcmVsYXRpb24gYXZlYyBsYSBkaXNwb25pYmlsaXTDqSBkZXMgcmVzc291cmNlcyBkYW5zIGxhIHpvbmUgZOKAmWludGVydmVudGlvbiBkZSBQQVJFLloMb282bnlpM216ZGNrcgIgAHgAmgEGCAAQABgAqgGRBBKOBGVzdCBjZSBxdSYjMzk7aWwgbiYjMzk7YSBwYXMgbGlldSBkZSBxdWFudGlmaWVyIGF1c3NpIGxlcyBwcmluY2lwYWxlcyBlc3BlY2VzIHBvdXIgYXZvaXIgdW5lIGlkZWUgc3VyIGxlIHBvdGVudGllbCBjb21tZXJjaWFsPyBFdCBqZSBwZW5zZSBxdSYjMzk7aWwgZmF1dCBhdXNzaSBham91dGVyIGwmIzM5O2FuYWx5c2UgcHJvbWF0b2xvZ2lxdWUgZXQgbGEgY29sbGVjdGUgZGVzIGVjaGFudGlsbG9ucyBkZXZyYWl0IGV0cmUgcmVhbGlzZWUgZW4gbWVtZSB0ZW1wcyBxdWUgbCYjMzk7aW52ZW50YWlyZTxicj48YnI+TCYjMzk7ZXR1ZGUgZGV2cmFpdCBkw6l2ZWxvcHBlciB1bmUgY29tcHLDqWhlbnNpb24gZMOpdGFpbGzDqWUgZGVzIHF1YW50aXTDqXMsIGRlcyBxdWFsaXTDqXMsIGRlcyBmYWN0ZXVycyBhbnRpbnV0cml0aWZzLCBkZXMgZW1wbGFjZW1lbnRzLCBkZXMgc2Fpc29ucyBkZTxicj5kaXN0cmlidXRpb24sIHByaXggZXQgYWNjZXNzaWJpbGl0w6kgZGVzIHJlc3NvdXJjZXMgZGVzIHByaW5jaXBhbGVzIGVzcGVjZXOwAQC4AQAY8LXR1ecxIMav89XnMTAAQhBraXgueGwwbGRwbWR4NjIxIvoJCgtBQUFCS09ocmJIOBLICQoLQUFBQktPaHJiSDgSC0FBQUJLT2hyYkg4GoUCCgl0ZXh0L2h0bWwS9wFDRU1BUkNIIHNlIGZvY2FsaXNlIHN1ciBsZSByZW5mb3JjZW1lbnQgZGUgbGEgY2FwYWNpdGUgZGVzIHVuaXZlcnNpdGVzwqAgcG91ciByw6lwb25kcmUgYXV4IGV4aWdlbmNlcyBkZSBs4oCZw6ljb25vbWllIGFncmljb2xlIGV0IGF1eCBiZXNvaW5zIGRlIG1haW4gZOKAmcWTdXZyZSBldCBhaWRlciBjZXMgVW5pdmVyc2l0ZXMgYSBkZXZlbG9wcGVyIGRlcyBwcm9ncmFtbWVzIGRlIFJlY2hlcmNoZXMgZXQgZCYjMzk7ZXh0ZW5zaW9uIoICCgp0ZXh0L3BsYWluEvMBQ0VNQVJDSCBzZSBmb2NhbGlzZSBzdXIgbGUgcmVuZm9yY2VtZW50IGRlIGxhIGNhcGFjaXRlIGRlcyB1bml2ZXJzaXRlc8KgIHBvdXIgcsOpcG9uZHJlIGF1eCBleGlnZW5jZXMgZGUgbOKAmcOpY29ub21pZSBhZ3JpY29sZSBldCBhdXggYmVzb2lucyBkZSBtYWluIGTigJnFk3V2cmUgZXQgYWlkZXIgY2VzIFVuaXZlcnNpdGVzIGEgZGV2ZWxvcHBlciBkZXMgcHJvZ3JhbW1lcyBkZSBSZWNoZXJjaGVzIGV0IGQnZXh0ZW5zaW9uKhsiFTEwMTQ2OTg0MTA3OTExOTkxMzIzNigAOAAwoZOm1ecxOKGTptXnMUrTAgoKdGV4dC9wbGFpbhLEAnNlIGZvY2FsaXNlIHN1ciBsYSBtaXNlIGVuIHBsYWNlIGRlIE1pY3JvLVBhcmNzIFRlY2hub2xvZ2lxdWVzIGVuIHBhcnRlbmFyaWF0IGF2ZWMgZGl2ZXJzZXMgdW5pdmVyc2l0w6lzIGhhw690aWVubmVzLCBub3RhbW1lbnQgbOKAmVVuaXZlcnNpdMOpIENocsOpdGllbm5lIGR1IE5vcmQgKENhcCBIYcOvdGllbiksIFVuaXZlcnNpdMOpIEFtw6lyaWNhaW5lIGRlcyBDYXJhw69iZXMgKEFVQywgTGVzIENheWVzKSwgVW5pdmVyc2l0w6kgTm90cmUgRGFtZSAoTGVzIENheWVzKSBldCBDYW1wdXMgSGVucnkgQ2hyaXN0b3BoZSBkZSBMaW1vbmFkZSAoQ2FwIEhhw690aWVuKVoLbzFmbnprdzcybTlyAiAAeACaAQYIABAAGACqAfoBEvcBQ0VNQVJDSCBzZSBmb2NhbGlzZSBzdXIgbGUgcmVuZm9yY2VtZW50IGRlIGxhIGNhcGFjaXRlIGRlcyB1bml2ZXJzaXRlc8KgIHBvdXIgcsOpcG9uZHJlIGF1eCBleGlnZW5jZXMgZGUgbOKAmcOpY29ub21pZSBhZ3JpY29sZSBldCBhdXggYmVzb2lucyBkZSBtYWluIGTigJnFk3V2cmUgZXQgYWlkZXIgY2VzIFVuaXZlcnNpdGVzIGEgZGV2ZWxvcHBlciBkZXMgcHJvZ3JhbW1lcyBkZSBSZWNoZXJjaGVzIGV0IGQmIzM5O2V4dGVuc2lvbrABALgBABihk6bV5zEgoZOm1ecxMABCEGtpeC4yZGY1bHViM3g3OWIipwIKC0FBQUJLT2hyYkJREvEBCgtBQUFCS09ocmJCURILQUFBQktPaHJiQlEaDQoJdGV4dC9odG1sEgAiDgoKdGV4dC9wbGFpbhIAKhsiFTEwMTQ2OTg0MTA3OTExOTkxMzIzNigAOAAwy6TE1OcxOMukxNTnMUpRCiRhcHBsaWNhdGlvbi92bmQuZ29vZ2xlLWFwcHMuZG9jcy5tZHMaKcLX2uQBIwohCg0KB3F1ZWxxdWUQARgAEg4KCHF1ZWxxdWVzEAEYABgBWgxpejVxenh1YXFib2tyAiAAeACCARRzdWdnZXN0LnU2NXIwM2E2enA5apoBBggAEAAYALABALgBABjLpMTU5zEgy6TE1OcxMABCFHN1Z2dlc3QudTY1cjAzYTZ6cDlqIuoNCgtBQUFCS09ocmJKcxK4DQoLQUFBQktPaHJiSnMSC0FBQUJLT2hyYkpzGt8DCgl0ZXh0L2h0bWwS0QNOb3VzIGFpbWVyaW9ucyB2b2lyIGxhIG1ldGhvZG9sb2dpZSBkZXRhaWxsZWUgYXZhbnQgbGEgY29sbGVjdGUuwqAgTGEgbWV0aG9kb2xvZ2llIGRldnJhaXQgcGVybWV0dHJlIGxlwqAgZMOpdmVsb3BwZW1lbnTCoCBkJiMzOTt1bmUgY29tcHLDqWhlbnNpb24gZMOpdGFpbGzDqWUgZGVzIHF1YW50aXTDqXMsIGRlcyBxdWFsaXTDqXMsIGRlcyBmYWN0ZXVycyBhbnRpbnV0cml0aWZzLCBkZXMgZW1wbGFjZW1lbnRzLCBkZXMgc2Fpc29ucyBkZTxicj5kaXN0cmlidXRpb24sIHByaXggZXQgYWNjZXNzaWJpbGl0w6kgZGVzIHJlc3NvdXJjZXMgZGVzIHByaW5jaXBhbGVzIGVzcGVjZXMuIElsIGVzdCBhdXNzaSBpbXBvcnRhbnQgZGUgY29sbGVjdGVyIGRlcyBjb29yZG9ubmVlcyBnZW9ncmFwaGlxdWVzIGRlcyBwcmluY2lwYWxlcyBwb2NoZXMgZGUgcHJvZHVjdGlvbiBldCByZWFsaXNlciB1bmUgY2FydGUgYSBsYSBmaW4i2QMKCnRleHQvcGxhaW4SygNOb3VzIGFpbWVyaW9ucyB2b2lyIGxhIG1ldGhvZG9sb2dpZSBkZXRhaWxsZWUgYXZhbnQgbGEgY29sbGVjdGUuwqAgTGEgbWV0aG9kb2xvZ2llIGRldnJhaXQgcGVybWV0dHJlIGxlwqAgZMOpdmVsb3BwZW1lbnTCoCBkJ3VuZSBjb21wcsOpaGVuc2lvbiBkw6l0YWlsbMOpZSBkZXMgcXVhbnRpdMOpcywgZGVzIHF1YWxpdMOpcywgZGVzIGZhY3RldXJzIGFudGludXRyaXRpZnMsIGRlcyBlbXBsYWNlbWVudHMsIGRlcyBzYWlzb25zIGRlCmRpc3RyaWJ1dGlvbiwgcHJpeCBldCBhY2Nlc3NpYmlsaXTDqSBkZXMgcmVzc291cmNlcyBkZXMgcHJpbmNpcGFsZXMgZXNwZWNlcy4gSWwgZXN0IGF1c3NpIGltcG9ydGFudCBkZSBjb2xsZWN0ZXIgZGVzIGNvb3Jkb25uZWVzIGdlb2dyYXBoaXF1ZXMgZGVzIHByaW5jaXBhbGVzIHBvY2hlcyBkZSBwcm9kdWN0aW9uIGV0IHJlYWxpc2VyIHVuZSBjYXJ0ZSBhIGxhIGZpbiobIhUxMDE0Njk4NDEwNzkxMTk5MTMyMzYoADgAMLiDoNbnMTi4g6DW5zFKtwEKCnRleHQvcGxhaW4SqAFMZSBub21icmUgZGUgem9uZXMgYWdyby3DqWNvbG9naXF1ZXMgZXN0IGVzdGltw6llIMOgIDggZ3JhbmRlcyB6b25lcyBldCBs4oCZZXN0aW1hdGlvbiB0b3RhbGUgZHUgbm9tYnJlIGRlIGpvdXIgZGUgdGVycmFpbiBkYW5zIGxhIHpvbmUgYWdyb8OpY29sb2dpcXVlIGVzdCBkZSAxNiBqb3Vycy5aDG8ya3Q5cHdzdGUwcXICIAB4AJoBBggAEAAYAKoB1AMS0QNOb3VzIGFpbWVyaW9ucyB2b2lyIGxhIG1ldGhvZG9sb2dpZSBkZXRhaWxsZWUgYXZhbnQgbGEgY29sbGVjdGUuwqAgTGEgbWV0aG9kb2xvZ2llIGRldnJhaXQgcGVybWV0dHJlIGxlwqAgZMOpdmVsb3BwZW1lbnTCoCBkJiMzOTt1bmUgY29tcHLDqWhlbnNpb24gZMOpdGFpbGzDqWUgZGVzIHF1YW50aXTDqXMsIGRlcyBxdWFsaXTDqXMsIGRlcyBmYWN0ZXVycyBhbnRpbnV0cml0aWZzLCBkZXMgZW1wbGFjZW1lbnRzLCBkZXMgc2Fpc29ucyBkZTxicj5kaXN0cmlidXRpb24sIHByaXggZXQgYWNjZXNzaWJpbGl0w6kgZGVzIHJlc3NvdXJjZXMgZGVzIHByaW5jaXBhbGVzIGVzcGVjZXMuIElsIGVzdCBhdXNzaSBpbXBvcnRhbnQgZGUgY29sbGVjdGVyIGRlcyBjb29yZG9ubmVlcyBnZW9ncmFwaGlxdWVzIGRlcyBwcmluY2lwYWxlcyBwb2NoZXMgZGUgcHJvZHVjdGlvbiBldCByZWFsaXNlciB1bmUgY2FydGUgYSBsYSBmaW6wAQC4AQAYuIOg1ucxILiDoNbnMTAAQhBraXgucWljZ2JpZWs2eXJvIu4GCgtBQUFCS09ocmJIQRK8BgoLQUFBQktPaHJiSEESC0FBQUJLT2hyYkhBGsgBCgl0ZXh0L2h0bWwSugFQYXJ0ZW5hcmlhdCB1bml2ZXJzaXRhaXJlIGFncmljb2xlIGhhw690aWVuIDogQ2VudHJlZOKAmWF0dMOpbnVhdGlvbiwgZOKAmWFkYXB0YXRpb24gZXQgZGUgcsOpc2lsaWVuY2UgYXUgY2hhbmdlbWVudGNsaW1hdGlxdWUgZW4gSGHDr3RpIMK7IEMmIzM5O2VzdCBsZSBub20gY29tcGxldCBldCBjb3JyZWN0IGRlIENFTUFSQ0gixQEKCnRleHQvcGxhaW4StgFQYXJ0ZW5hcmlhdCB1bml2ZXJzaXRhaXJlIGFncmljb2xlIGhhw690aWVuIDogQ2VudHJlZOKAmWF0dMOpbnVhdGlvbiwgZOKAmWFkYXB0YXRpb24gZXQgZGUgcsOpc2lsaWVuY2UgYXUgY2hhbmdlbWVudGNsaW1hdGlxdWUgZW4gSGHDr3RpIMK7IEMnZXN0IGxlIG5vbSBjb21wbGV0IGV0IGNvcnJlY3QgZGUgQ0VNQVJDSCobIhUxMDE0Njk4NDEwNzkxMTk5MTMyMzYoADgAMIOthNXnMTiDrYTV5zFKfgoKdGV4dC9wbGFpbhJwKENlbnRyZSBkJ0V4Y2VsbGVuY2UgcG91ciBsZSBNYW5hZ2VtZW50IGV0IGwnQW3DqWxpb3JhdGlvbiBkZXMgUmVzc291cmNlcyBkYW5zIGxlcyBDaGHDrm5lcyBkZSBWYWxldXIgQWdyaWNvbGVzKVoMejlqbnc0NG03dHI3cgIgAHgAmgEGCAAQABgAqgG9ARK6AVBhcnRlbmFyaWF0IHVuaXZlcnNpdGFpcmUgYWdyaWNvbGUgaGHDr3RpZW4gOiBDZW50cmVk4oCZYXR0w6ludWF0aW9uLCBk4oCZYWRhcHRhdGlvbiBldCBkZSByw6lzaWxpZW5jZSBhdSBjaGFuZ2VtZW50Y2xpbWF0aXF1ZSBlbiBIYcOvdGkgwrsgQyYjMzk7ZXN0IGxlIG5vbSBjb21wbGV0IGV0IGNvcnJlY3QgZGUgQ0VNQVJDSLABALgBABiDrYTV5zEgg62E1ecxMABCEGtpeC5qbG04cDAxOTdvcXEingIKC0FBQUJLT2hyYkdzEugBCgtBQUFCS09ocmJHcxILQUFBQktPaHJiR3MaDQoJdGV4dC9odG1sEgAiDgoKdGV4dC9wbGFpbhIAKhsiFTEwMTQ2OTg0MTA3OTExOTkxMzIzNigAOAAw0bjq1OcxOIWd69TnMUpICiRhcHBsaWNhdGlvbi92bmQuZ29vZ2xlLWFwcHMuZG9jcy5tZHMaIMLX2uQBGgoYCggKAlVGEAEYABIKCgRJRkFTEAEYABgBWgxudDRqamdmY3llMnByAiAAeACCARRzdWdnZXN0LjU4d3hycWt5bWl4cJoBBggAEAAYALABALgBABjRuOrU5zEghZ3r1OcxMABCFHN1Z2dlc3QuNTh3eHJxa3ltaXhwIqkDCgtBQUFCS1BRM3N5NBL5AgoLQUFBQktQUTNzeTQSC0FBQUJLUFEzc3k0GkMKCXRleHQvaHRtbBI2UG91ciBkZXMgZXNww6hjZXMgcXVpIHNlIHRyb3V2ZW50IGTDqWrDoCBkYW5zIGxhIHpvbmU/IkQKCnRleHQvcGxhaW4SNlBvdXIgZGVzIGVzcMOoY2VzIHF1aSBzZSB0cm91dmVudCBkw6lqw6AgZGFucyBsYSB6b25lPyobIhUxMTU3MTgzMjY0Njk4OTkxMDMyMDQoADgAMNWR5drnMTi3jeba5zFKTwoKdGV4dC9wbGFpbhJBcG90ZW50aWVsIGTigJlhZMOpcXVhdGlvbiBkZXMgZXNww6hjZXMgZXQgdmFyacOpdMOpcyBkZSBmb3VycmFnZXNaDDFkZGIxOTIzdGg1aHICIAB4AJoBBggAEAAYAKoBOBI2UG91ciBkZXMgZXNww6hjZXMgcXVpIHNlIHRyb3V2ZW50IGTDqWrDoCBkYW5zIGxhIHpvbmU/GNWR5drnMSC3jeba5zFCEGtpeC5nOGxjdjVlOXF4cHcitQIKC0FBQUJLT2hyYkJJEv8BCgtBQUFCS09ocmJCSRILQUFBQktPaHJiQkkaDQoJdGV4dC9odG1sEgAiDgoKdGV4dC9wbGFpbhIAKhsiFTEwMTQ2OTg0MTA3OTExOTkxMzIzNigAOAAwpP/D1OcxOPWTxNTnMUpfCiRhcHBsaWNhdGlvbi92bmQuZ29vZ2xlLWFwcHMuZG9jcy5tZHMaN8LX2uQBMQovChUKD1N1ZCwgcHJvZHVpc2VudBABGAASFAoOU3VkIHByb2R1aXNlbnQQARgAGAFaDDVrM3I4bjR5Yml3MnICIAB4AIIBFHN1Z2dlc3QuNHZudjN0Y2ZvNXkwmgEGCAAQABgAsAEAuAEAGKT/w9TnMSD1k8TU5zEwAEIUc3VnZ2VzdC40dm52M3RjZm81eTAiigYKC0FBQUJLTkE3V1I0EtgFCgtBQUFCS05BN1dSNBILQUFBQktOQTdXUjQalQEKCXRleHQvaHRtbBKHAUFsc28gaGVyZSzCoEkgd291bGQgaGF2ZSB3ZWlnaGVkIHRoZSBtZXRob2RvbG9neSBvciB0aGUgZXhwZXJpZW5jZSBhIGJpdCBoaWdoZXIgdGhhbiB0aGUgY29zdCBwcm9wb3NhbC4gQnV0IGl0JiMzOTtzIG1lcmVseSBhbiBvcGluaW9uLiKSAQoKdGV4dC9wbGFpbhKDAUFsc28gaGVyZSzCoEkgd291bGQgaGF2ZSB3ZWlnaGVkIHRoZSBtZXRob2RvbG9neSBvciB0aGUgZXhwZXJpZW5jZSBhIGJpdCBoaWdoZXIgdGhhbiB0aGUgY29zdCBwcm9wb3NhbC4gQnV0IGl0J3MgbWVyZWx5IGFuIG9waW5pb24uKhsiFTEwODk5MTYxMzMwNzAxNDU4MTYxNSgAOAAwhMnUuucxOPqyrNbnMUKgAQoLQUFBQktPaHJiSncSC0FBQUJLTkE3V1I0GhQKCXRleHQvaHRtbBIHSSBhZ3JlZSIVCgp0ZXh0L3BsYWluEgdJIGFncmVlKhsiFTEwMTQ2OTg0MTA3OTExOTkxMzIzNigAOAAw+rKs1ucxOPqyrNbnMVoLcmJsdTF0NGIwMm5yAiAAeACaAQYIABAAGACqAQkSB0kgYWdyZWWwAQC4AQBKEAoKdGV4dC9wbGFpbhICMzVaDHlsanV2ZnY0emN1cnICIAB4AJoBBggAEAAYAKoBigEShwFBbHNvIGhlcmUswqBJIHdvdWxkIGhhdmUgd2VpZ2hlZCB0aGUgbWV0aG9kb2xvZ3kgb3IgdGhlIGV4cGVyaWVuY2UgYSBiaXQgaGlnaGVyIHRoYW4gdGhlIGNvc3QgcHJvcG9zYWwuIEJ1dCBpdCYjMzk7cyBtZXJlbHkgYW4gb3Bpbmlvbi6wAQC4AQAYhMnUuucxIPqyrNbnMTAAQhBraXguaW5iMDYyOHc1NnJlMghoLmdqZGd4czIJaC4zMGowemxsMgloLjFmb2I5dGUyCWguM3pueXNoNzIJaC4yZXQ5MnAwMghoLnR5amN3dD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4AGoqChRzdWdnZXN0LnU2NXIwM2E2enA5ahISUmVnaW5hbGQgVG91c3NhaW50aioKFHN1Z2dlc3QuNTh3eHJxa3ltaXhwEhJSZWdpbmFsZCBUb3Vzc2FpbnRqKgoUc3VnZ2VzdC40dm52M3RjZm81eTASElJlZ2luYWxkIFRvdXNzYWludHIhMVJleXBRMDJJSlZUVERRU21CcEYwSUVqbS0zMEVKOFd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3388</Words>
  <Characters>19316</Characters>
  <Application>Microsoft Office Word</Application>
  <DocSecurity>0</DocSecurity>
  <Lines>160</Lines>
  <Paragraphs>45</Paragraphs>
  <ScaleCrop>false</ScaleCrop>
  <Company/>
  <LinksUpToDate>false</LinksUpToDate>
  <CharactersWithSpaces>22659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 gustave</dc:creator>
  <cp:lastModifiedBy>Desir, Frantz Daniel</cp:lastModifiedBy>
  <cp:revision>2</cp:revision>
  <dcterms:created xsi:type="dcterms:W3CDTF">2024-04-25T18:48:00Z</dcterms:created>
  <dcterms:modified xsi:type="dcterms:W3CDTF">2024-04-25T18:48:00Z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0x010100E28104C10C5ABF419CFB7762A2FEE76A0101010F00001AC33051DFCF418406336B6F2F1062</vt:lpwstr>
  </property>
  <property fmtid="{D5CDD505-2E9C-101B-9397-08002B2CF9AE}" pid="3" name="_dlc_DocIdItemGuid">
    <vt:lpwstr>80c13ec9-50d3-43cb-b0f2-9c4263e0e43e</vt:lpwstr>
  </property>
  <property fmtid="{D5CDD505-2E9C-101B-9397-08002B2CF9AE}" pid="4" name="Donor">
    <vt:lpwstr/>
  </property>
  <property fmtid="{D5CDD505-2E9C-101B-9397-08002B2CF9AE}" pid="5" name="Project">
    <vt:lpwstr/>
  </property>
  <property fmtid="{D5CDD505-2E9C-101B-9397-08002B2CF9AE}" pid="6" name="Projects">
    <vt:lpwstr/>
  </property>
  <property fmtid="{D5CDD505-2E9C-101B-9397-08002B2CF9AE}" pid="7" name="Region">
    <vt:lpwstr/>
  </property>
  <property fmtid="{D5CDD505-2E9C-101B-9397-08002B2CF9AE}" pid="8" name="MonthComplete">
    <vt:lpwstr/>
  </property>
  <property fmtid="{D5CDD505-2E9C-101B-9397-08002B2CF9AE}" pid="9" name="ProjTADocType">
    <vt:lpwstr>556;#Consulting Agreement|885da452-ec61-476b-9237-657af774f89d</vt:lpwstr>
  </property>
  <property fmtid="{D5CDD505-2E9C-101B-9397-08002B2CF9AE}" pid="10" name="Countrys">
    <vt:lpwstr/>
  </property>
  <property fmtid="{D5CDD505-2E9C-101B-9397-08002B2CF9AE}" pid="11" name="Country">
    <vt:lpwstr/>
  </property>
  <property fmtid="{D5CDD505-2E9C-101B-9397-08002B2CF9AE}" pid="12" name="Organization">
    <vt:lpwstr/>
  </property>
  <property fmtid="{D5CDD505-2E9C-101B-9397-08002B2CF9AE}" pid="13" name="CountryDocType">
    <vt:lpwstr/>
  </property>
  <property fmtid="{D5CDD505-2E9C-101B-9397-08002B2CF9AE}" pid="14" name="m15ebcfa5c464dc186c8244ec7539b98">
    <vt:lpwstr/>
  </property>
</Properties>
</file>