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759F" w14:textId="77777777" w:rsidR="00ED7557" w:rsidRDefault="00ED7557" w:rsidP="00ED7557">
      <w:pPr>
        <w:tabs>
          <w:tab w:val="left" w:pos="7620"/>
        </w:tabs>
        <w:spacing w:line="360" w:lineRule="auto"/>
        <w:jc w:val="both"/>
        <w:rPr>
          <w:rFonts w:cstheme="minorHAnsi"/>
          <w:lang w:val="fr-FR"/>
        </w:rPr>
      </w:pPr>
      <w:r w:rsidRPr="004D7B19">
        <w:rPr>
          <w:noProof/>
          <w:lang w:val="fr-FR" w:eastAsia="fr-FR"/>
        </w:rPr>
        <w:drawing>
          <wp:anchor distT="0" distB="0" distL="0" distR="0" simplePos="0" relativeHeight="251659264" behindDoc="1" locked="0" layoutInCell="1" hidden="0" allowOverlap="1" wp14:anchorId="2ECD7EA0" wp14:editId="1C7F9B8A">
            <wp:simplePos x="0" y="0"/>
            <wp:positionH relativeFrom="margin">
              <wp:posOffset>2331720</wp:posOffset>
            </wp:positionH>
            <wp:positionV relativeFrom="page">
              <wp:posOffset>502920</wp:posOffset>
            </wp:positionV>
            <wp:extent cx="1295400" cy="723900"/>
            <wp:effectExtent l="0" t="0" r="0" b="0"/>
            <wp:wrapTight wrapText="bothSides">
              <wp:wrapPolygon edited="0">
                <wp:start x="9529" y="0"/>
                <wp:lineTo x="5082" y="1705"/>
                <wp:lineTo x="0" y="14779"/>
                <wp:lineTo x="0" y="21032"/>
                <wp:lineTo x="318" y="21032"/>
                <wp:lineTo x="20965" y="21032"/>
                <wp:lineTo x="21282" y="21032"/>
                <wp:lineTo x="21282" y="14779"/>
                <wp:lineTo x="18106" y="9095"/>
                <wp:lineTo x="18424" y="6821"/>
                <wp:lineTo x="13976" y="568"/>
                <wp:lineTo x="11753" y="0"/>
                <wp:lineTo x="9529" y="0"/>
              </wp:wrapPolygon>
            </wp:wrapTight>
            <wp:docPr id="3" name="image3.png" descr="armoirie"/>
            <wp:cNvGraphicFramePr/>
            <a:graphic xmlns:a="http://schemas.openxmlformats.org/drawingml/2006/main">
              <a:graphicData uri="http://schemas.openxmlformats.org/drawingml/2006/picture">
                <pic:pic xmlns:pic="http://schemas.openxmlformats.org/drawingml/2006/picture">
                  <pic:nvPicPr>
                    <pic:cNvPr id="0" name="image3.png" descr="armoirie"/>
                    <pic:cNvPicPr preferRelativeResize="0"/>
                  </pic:nvPicPr>
                  <pic:blipFill>
                    <a:blip r:embed="rId7"/>
                    <a:srcRect/>
                    <a:stretch>
                      <a:fillRect/>
                    </a:stretch>
                  </pic:blipFill>
                  <pic:spPr>
                    <a:xfrm>
                      <a:off x="0" y="0"/>
                      <a:ext cx="1295400" cy="723900"/>
                    </a:xfrm>
                    <a:prstGeom prst="rect">
                      <a:avLst/>
                    </a:prstGeom>
                    <a:ln/>
                  </pic:spPr>
                </pic:pic>
              </a:graphicData>
            </a:graphic>
            <wp14:sizeRelH relativeFrom="margin">
              <wp14:pctWidth>0</wp14:pctWidth>
            </wp14:sizeRelH>
            <wp14:sizeRelV relativeFrom="margin">
              <wp14:pctHeight>0</wp14:pctHeight>
            </wp14:sizeRelV>
          </wp:anchor>
        </w:drawing>
      </w:r>
    </w:p>
    <w:p w14:paraId="0E865A10" w14:textId="77777777" w:rsidR="00ED7557" w:rsidRPr="00910646" w:rsidRDefault="00ED7557" w:rsidP="00ED7557">
      <w:pPr>
        <w:spacing w:after="0"/>
        <w:jc w:val="center"/>
        <w:rPr>
          <w:rFonts w:ascii="Times New Roman" w:hAnsi="Times New Roman"/>
          <w:b/>
          <w:bCs/>
          <w:sz w:val="40"/>
          <w:szCs w:val="40"/>
          <w:lang w:val="fr-FR"/>
        </w:rPr>
      </w:pPr>
      <w:r w:rsidRPr="00910646">
        <w:rPr>
          <w:rFonts w:ascii="Times New Roman" w:hAnsi="Times New Roman"/>
          <w:b/>
          <w:bCs/>
          <w:sz w:val="40"/>
          <w:szCs w:val="40"/>
          <w:lang w:val="fr-FR"/>
        </w:rPr>
        <w:t>Ministère de la Santé Publique et de la Population</w:t>
      </w:r>
    </w:p>
    <w:p w14:paraId="5339D0AF" w14:textId="77777777" w:rsidR="00ED7557" w:rsidRDefault="00ED7557" w:rsidP="00ED7557">
      <w:pPr>
        <w:spacing w:after="0"/>
        <w:jc w:val="center"/>
        <w:rPr>
          <w:rFonts w:ascii="Times New Roman" w:hAnsi="Times New Roman"/>
          <w:b/>
          <w:bCs/>
          <w:sz w:val="28"/>
          <w:szCs w:val="28"/>
          <w:lang w:val="fr-FR"/>
        </w:rPr>
      </w:pPr>
      <w:r w:rsidRPr="00910646">
        <w:rPr>
          <w:rFonts w:ascii="Times New Roman" w:hAnsi="Times New Roman"/>
          <w:b/>
          <w:bCs/>
          <w:sz w:val="28"/>
          <w:szCs w:val="28"/>
          <w:lang w:val="fr-FR"/>
        </w:rPr>
        <w:t>UNITE DE COORDINATION DES MALADIES INFECTIEUSES ET TRANSMISSIBLES</w:t>
      </w:r>
      <w:r>
        <w:rPr>
          <w:rFonts w:ascii="Times New Roman" w:hAnsi="Times New Roman"/>
          <w:b/>
          <w:bCs/>
          <w:sz w:val="28"/>
          <w:szCs w:val="28"/>
          <w:lang w:val="fr-FR"/>
        </w:rPr>
        <w:t xml:space="preserve"> </w:t>
      </w:r>
    </w:p>
    <w:p w14:paraId="6C079E3E" w14:textId="77777777" w:rsidR="00ED7557" w:rsidRPr="00910646" w:rsidRDefault="00ED7557" w:rsidP="00ED7557">
      <w:pPr>
        <w:spacing w:after="0"/>
        <w:jc w:val="center"/>
        <w:rPr>
          <w:rFonts w:ascii="Times New Roman" w:hAnsi="Times New Roman"/>
          <w:b/>
          <w:bCs/>
          <w:sz w:val="28"/>
          <w:szCs w:val="28"/>
          <w:lang w:val="fr-FR"/>
        </w:rPr>
      </w:pPr>
      <w:r>
        <w:rPr>
          <w:rFonts w:ascii="Times New Roman" w:hAnsi="Times New Roman"/>
          <w:b/>
          <w:bCs/>
          <w:sz w:val="28"/>
          <w:szCs w:val="28"/>
          <w:lang w:val="fr-FR"/>
        </w:rPr>
        <w:t>(UCMIT-MSPP)</w:t>
      </w:r>
    </w:p>
    <w:p w14:paraId="7B4E941A" w14:textId="77777777" w:rsidR="00ED7557" w:rsidRDefault="00ED7557" w:rsidP="00ED7557">
      <w:pPr>
        <w:jc w:val="center"/>
        <w:rPr>
          <w:rFonts w:ascii="Bookman Old Style" w:hAnsi="Bookman Old Style"/>
          <w:b/>
          <w:sz w:val="24"/>
          <w:szCs w:val="24"/>
          <w:lang w:val="fr-FR"/>
        </w:rPr>
      </w:pPr>
    </w:p>
    <w:p w14:paraId="109492B9" w14:textId="6F83E4D1" w:rsidR="00ED7557" w:rsidRDefault="00ED7557" w:rsidP="00ED7557">
      <w:pPr>
        <w:jc w:val="center"/>
        <w:rPr>
          <w:rFonts w:ascii="Bookman Old Style" w:hAnsi="Bookman Old Style"/>
          <w:b/>
          <w:sz w:val="24"/>
          <w:szCs w:val="24"/>
          <w:lang w:val="fr-FR"/>
        </w:rPr>
      </w:pPr>
      <w:r w:rsidRPr="00E13D91">
        <w:rPr>
          <w:rFonts w:ascii="Bookman Old Style" w:hAnsi="Bookman Old Style"/>
          <w:b/>
          <w:sz w:val="24"/>
          <w:szCs w:val="24"/>
          <w:lang w:val="fr-FR"/>
        </w:rPr>
        <w:t>TERME</w:t>
      </w:r>
      <w:r>
        <w:rPr>
          <w:rFonts w:ascii="Bookman Old Style" w:hAnsi="Bookman Old Style"/>
          <w:b/>
          <w:sz w:val="24"/>
          <w:szCs w:val="24"/>
          <w:lang w:val="fr-FR"/>
        </w:rPr>
        <w:t>S</w:t>
      </w:r>
      <w:r w:rsidRPr="00E13D91">
        <w:rPr>
          <w:rFonts w:ascii="Bookman Old Style" w:hAnsi="Bookman Old Style"/>
          <w:b/>
          <w:sz w:val="24"/>
          <w:szCs w:val="24"/>
          <w:lang w:val="fr-FR"/>
        </w:rPr>
        <w:t xml:space="preserve"> DE REFERENCE</w:t>
      </w:r>
    </w:p>
    <w:p w14:paraId="03B5D1ED" w14:textId="5CDE3565" w:rsidR="008E0A49" w:rsidRDefault="008E0A49" w:rsidP="008E0A49">
      <w:pPr>
        <w:rPr>
          <w:rFonts w:ascii="Open Sans" w:hAnsi="Open Sans" w:cs="Open Sans"/>
          <w:b/>
          <w:bCs/>
          <w:lang w:val="fr-FR"/>
        </w:rPr>
      </w:pPr>
      <w:r>
        <w:rPr>
          <w:rFonts w:ascii="Open Sans" w:hAnsi="Open Sans" w:cs="Open Sans"/>
          <w:b/>
          <w:bCs/>
          <w:lang w:val="fr-FR"/>
        </w:rPr>
        <w:t>PNLS/FM/23-mai/10</w:t>
      </w:r>
      <w:r w:rsidR="006F2DAB">
        <w:rPr>
          <w:rFonts w:ascii="Open Sans" w:hAnsi="Open Sans" w:cs="Open Sans"/>
          <w:b/>
          <w:bCs/>
          <w:lang w:val="fr-FR"/>
        </w:rPr>
        <w:t>9</w:t>
      </w:r>
      <w:r>
        <w:rPr>
          <w:rFonts w:ascii="Open Sans" w:hAnsi="Open Sans" w:cs="Open Sans"/>
          <w:b/>
          <w:bCs/>
          <w:lang w:val="fr-FR"/>
        </w:rPr>
        <w:t>-01</w:t>
      </w:r>
      <w:r w:rsidR="006F2DAB">
        <w:rPr>
          <w:rFonts w:ascii="Open Sans" w:hAnsi="Open Sans" w:cs="Open Sans"/>
          <w:b/>
          <w:bCs/>
          <w:lang w:val="fr-FR"/>
        </w:rPr>
        <w:t>3</w:t>
      </w:r>
    </w:p>
    <w:p w14:paraId="11301B0C" w14:textId="77777777" w:rsidR="00315BF4" w:rsidRPr="00B71A50" w:rsidRDefault="00315BF4" w:rsidP="00B71A50">
      <w:pPr>
        <w:spacing w:after="0" w:line="240" w:lineRule="auto"/>
        <w:jc w:val="center"/>
        <w:rPr>
          <w:rFonts w:ascii="Open Sans" w:hAnsi="Open Sans" w:cs="Open Sans"/>
          <w:b/>
          <w:bCs/>
          <w:lang w:val="fr-FR"/>
        </w:rPr>
      </w:pPr>
      <w:r w:rsidRPr="00B71A50">
        <w:rPr>
          <w:rFonts w:ascii="Open Sans" w:hAnsi="Open Sans" w:cs="Open Sans"/>
          <w:b/>
          <w:bCs/>
          <w:lang w:val="fr-FR"/>
        </w:rPr>
        <w:t>Elaboration des plans d’actions pour la mise en réseau des institutions sanitaires des départements du Nord, le Nord-est, l’Artibonite, le Centre, et l’Ouest visant l’offre de services VIH intégrés aux services de santé maternelle, néonatale et infantile (SMNI), santé reproductive (SSR), et de Tuberculose (TB)</w:t>
      </w:r>
    </w:p>
    <w:p w14:paraId="7D8A58CC" w14:textId="77777777" w:rsidR="00315BF4" w:rsidRPr="00B71A50" w:rsidRDefault="00315BF4" w:rsidP="00B71A50">
      <w:pPr>
        <w:spacing w:after="0" w:line="240" w:lineRule="auto"/>
        <w:jc w:val="center"/>
        <w:rPr>
          <w:rFonts w:ascii="Open Sans" w:hAnsi="Open Sans" w:cs="Open Sans"/>
          <w:b/>
          <w:bCs/>
          <w:lang w:val="fr-FR"/>
        </w:rPr>
      </w:pPr>
    </w:p>
    <w:p w14:paraId="3F7D8837" w14:textId="77777777" w:rsidR="00315BF4" w:rsidRPr="00B71A50" w:rsidRDefault="00315BF4" w:rsidP="00B71A50">
      <w:pPr>
        <w:spacing w:after="0" w:line="240" w:lineRule="auto"/>
        <w:rPr>
          <w:rFonts w:ascii="Open Sans" w:hAnsi="Open Sans" w:cs="Open Sans"/>
          <w:b/>
          <w:bCs/>
          <w:lang w:val="fr-FR"/>
        </w:rPr>
      </w:pPr>
      <w:r w:rsidRPr="00B71A50">
        <w:rPr>
          <w:rFonts w:ascii="Open Sans" w:hAnsi="Open Sans" w:cs="Open Sans"/>
          <w:b/>
          <w:bCs/>
          <w:lang w:val="fr-FR"/>
        </w:rPr>
        <w:t xml:space="preserve">1.- Contexte et justification </w:t>
      </w:r>
    </w:p>
    <w:p w14:paraId="1082809F" w14:textId="58873CE8" w:rsidR="00315BF4" w:rsidRPr="00B71A50" w:rsidRDefault="00315BF4" w:rsidP="00B71A50">
      <w:pPr>
        <w:spacing w:after="0" w:line="240" w:lineRule="auto"/>
        <w:jc w:val="both"/>
        <w:rPr>
          <w:rFonts w:ascii="Open Sans" w:hAnsi="Open Sans" w:cs="Open Sans"/>
          <w:lang w:val="fr-FR"/>
        </w:rPr>
      </w:pPr>
      <w:r w:rsidRPr="00B71A50">
        <w:rPr>
          <w:rFonts w:ascii="Open Sans" w:hAnsi="Open Sans" w:cs="Open Sans"/>
          <w:lang w:val="fr-FR"/>
        </w:rPr>
        <w:t>La lutte contre le VIH/Sida en Haïti a fait l’objet de progrès significatifs au cours de ces trente dernières années. La prévalence du VIH est passée de 9,0% en 1988 à 2,0% en 2017</w:t>
      </w:r>
      <w:r w:rsidRPr="00B71A50">
        <w:rPr>
          <w:rStyle w:val="FootnoteReference"/>
          <w:rFonts w:ascii="Open Sans" w:hAnsi="Open Sans" w:cs="Open Sans"/>
          <w:lang w:val="fr-FR"/>
        </w:rPr>
        <w:footnoteReference w:id="1"/>
      </w:r>
      <w:r w:rsidRPr="00B71A50">
        <w:rPr>
          <w:rFonts w:ascii="Open Sans" w:hAnsi="Open Sans" w:cs="Open Sans"/>
          <w:lang w:val="fr-FR"/>
        </w:rPr>
        <w:t>. Un plus grand nombre de personnes diagnostiquées VIH+ sont placées sous traitement antirétroviral (TAR), dont 26 915 en 2010 et 121 999 au 31 décembre 2020</w:t>
      </w:r>
      <w:r w:rsidRPr="00B71A50">
        <w:rPr>
          <w:rStyle w:val="FootnoteReference"/>
          <w:rFonts w:ascii="Open Sans" w:hAnsi="Open Sans" w:cs="Open Sans"/>
          <w:lang w:val="fr-FR"/>
        </w:rPr>
        <w:footnoteReference w:id="2"/>
      </w:r>
      <w:r w:rsidRPr="00B71A50">
        <w:rPr>
          <w:rFonts w:ascii="Open Sans" w:hAnsi="Open Sans" w:cs="Open Sans"/>
          <w:lang w:val="fr-FR"/>
        </w:rPr>
        <w:t>. Les personnes connaissant leur statut VIH qui ont accès à un TAR a progressé, passant de 64% en 2017 à 79% en 2020, en dépit de la COVID 19. Le ratio des patients sous TAR qui ont eu une charge virale supprimée est passé respectivement de 41% en 2017 à 57% en 2020. Au bout de 12 ans, la mortalité liée au sida a diminué, grâce à l’intensification du TAR, faisant passer le nombre de décès de 8 162 en 2008 à 3 452 en 2020, soit un recul de 58%.</w:t>
      </w:r>
    </w:p>
    <w:p w14:paraId="798D135F" w14:textId="77777777" w:rsidR="00315BF4" w:rsidRPr="00B71A50" w:rsidRDefault="00315BF4" w:rsidP="00B71A50">
      <w:pPr>
        <w:spacing w:after="0" w:line="240" w:lineRule="auto"/>
        <w:jc w:val="both"/>
        <w:rPr>
          <w:rFonts w:ascii="Open Sans" w:hAnsi="Open Sans" w:cs="Open Sans"/>
          <w:lang w:val="fr-FR"/>
        </w:rPr>
      </w:pPr>
    </w:p>
    <w:p w14:paraId="342D2BE2" w14:textId="77777777" w:rsidR="00315BF4" w:rsidRPr="00B71A50" w:rsidRDefault="00315BF4" w:rsidP="00B71A50">
      <w:pPr>
        <w:spacing w:after="0" w:line="240" w:lineRule="auto"/>
        <w:jc w:val="both"/>
        <w:rPr>
          <w:rFonts w:ascii="Open Sans" w:hAnsi="Open Sans" w:cs="Open Sans"/>
          <w:lang w:val="fr-FR"/>
        </w:rPr>
      </w:pPr>
      <w:r w:rsidRPr="00B71A50">
        <w:rPr>
          <w:rFonts w:ascii="Open Sans" w:hAnsi="Open Sans" w:cs="Open Sans"/>
          <w:lang w:val="fr-FR"/>
        </w:rPr>
        <w:t>En dépit des progrès enregistrés, la transmission du VIH de la mère à l’enfant (TME) reste une préoccupation majeure de santé publique en Haïti. Les femmes enceintes et les enfants paient encore un lourd tribut. Il ressort de l’analyse de la cascade de PTME que le taux de TME estimé avoisinait les 10% en 2019, encore loin des 4% prévues par le pays à la fin de 2023. Moins de 50% des structures sanitaires du pays offrent le paquet complet de services de PTME à la population et 20% de l’ensemble des femmes enceintes qui se sont présentées en consultations prénatales (CPN) en 2019 n’ont pas bénéficié d’un dépistage précoce du VIH/syphilis</w:t>
      </w:r>
      <w:r w:rsidRPr="00B71A50">
        <w:rPr>
          <w:rFonts w:ascii="Open Sans" w:hAnsi="Open Sans" w:cs="Open Sans"/>
          <w:vertAlign w:val="superscript"/>
          <w:lang w:val="fr-FR"/>
        </w:rPr>
        <w:t>2,</w:t>
      </w:r>
      <w:r w:rsidRPr="00B71A50">
        <w:rPr>
          <w:rStyle w:val="FootnoteReference"/>
          <w:rFonts w:ascii="Open Sans" w:hAnsi="Open Sans" w:cs="Open Sans"/>
          <w:lang w:val="fr-FR"/>
        </w:rPr>
        <w:footnoteReference w:id="3"/>
      </w:r>
      <w:r w:rsidRPr="00B71A50">
        <w:rPr>
          <w:rFonts w:ascii="Open Sans" w:hAnsi="Open Sans" w:cs="Open Sans"/>
          <w:lang w:val="fr-FR"/>
        </w:rPr>
        <w:t xml:space="preserve">. Des contraintes d’ordre techniques et systémiques entravant l’offre de services VIH aux populations vulnérables persistent. On peut citer, une déperdition significative du binôme mère-enfant à travers toutes les étapes de la cascade de traitement ; des barrières culturelles, financières et géographiques à l’accès des clients aux services VIH </w:t>
      </w:r>
      <w:r w:rsidRPr="00B71A50">
        <w:rPr>
          <w:rFonts w:ascii="Open Sans" w:hAnsi="Open Sans" w:cs="Open Sans"/>
          <w:lang w:val="fr-FR"/>
        </w:rPr>
        <w:lastRenderedPageBreak/>
        <w:t xml:space="preserve">et syphilis ; une faible intégration des services VIH à ceux de la SMNI/SSR, de TB de manière systématique et, des autres programmes prioritaires du MSPP pour ne citer que cela. </w:t>
      </w:r>
    </w:p>
    <w:p w14:paraId="43F9470E" w14:textId="77777777" w:rsidR="00315BF4" w:rsidRPr="00B71A50" w:rsidRDefault="00315BF4" w:rsidP="00B71A50">
      <w:pPr>
        <w:spacing w:after="0" w:line="240" w:lineRule="auto"/>
        <w:jc w:val="both"/>
        <w:rPr>
          <w:rFonts w:ascii="Open Sans" w:hAnsi="Open Sans" w:cs="Open Sans"/>
          <w:lang w:val="fr-FR"/>
        </w:rPr>
      </w:pPr>
    </w:p>
    <w:p w14:paraId="4D27C8A4" w14:textId="77777777" w:rsidR="00315BF4" w:rsidRPr="00B71A50" w:rsidRDefault="00315BF4" w:rsidP="00B71A50">
      <w:pPr>
        <w:spacing w:after="0" w:line="240" w:lineRule="auto"/>
        <w:jc w:val="both"/>
        <w:rPr>
          <w:rFonts w:ascii="Open Sans" w:hAnsi="Open Sans" w:cs="Open Sans"/>
          <w:lang w:val="fr-FR"/>
        </w:rPr>
      </w:pPr>
      <w:r w:rsidRPr="00B71A50">
        <w:rPr>
          <w:rFonts w:ascii="Open Sans" w:hAnsi="Open Sans" w:cs="Open Sans"/>
          <w:lang w:val="fr-FR"/>
        </w:rPr>
        <w:t xml:space="preserve">Dans ce contexte, marqué par une réduction de l’aide-externe alloué au programme VIH, il devient de plus en plus difficile d’augmenter l’accès aux services sans développer et mettre en œuvre un modèle innovateur de fournitures de services VIH intégrés aux différents programmes prioritaires du MSPP. Fort de ce constat, les autorités sanitaires ont fait choix de la </w:t>
      </w:r>
      <w:r w:rsidRPr="00B71A50">
        <w:rPr>
          <w:rFonts w:ascii="Open Sans" w:hAnsi="Open Sans" w:cs="Open Sans"/>
          <w:b/>
          <w:bCs/>
          <w:i/>
          <w:iCs/>
          <w:lang w:val="fr-FR"/>
        </w:rPr>
        <w:t>« Mise en réseau des institutions sanitaires pour l’offre de services VIH intégrés »</w:t>
      </w:r>
      <w:r w:rsidRPr="00B71A50">
        <w:rPr>
          <w:rFonts w:ascii="Open Sans" w:hAnsi="Open Sans" w:cs="Open Sans"/>
          <w:lang w:val="fr-FR"/>
        </w:rPr>
        <w:t xml:space="preserve"> comme stratégie de réponse aux problèmes identifiés. Cette mise en réseau vise une meilleure accessibilité de la population au paquet de services VIH/PTME et TB. Elle requiert une planification rigoureuse qui doit impliquer toutes les parties prenantes à tous les niveaux de la pyramide sanitaire, et surtout la communauté. </w:t>
      </w:r>
    </w:p>
    <w:p w14:paraId="0A490C48" w14:textId="77777777" w:rsidR="00315BF4" w:rsidRPr="00B71A50" w:rsidRDefault="00315BF4" w:rsidP="00B71A50">
      <w:pPr>
        <w:spacing w:after="0" w:line="240" w:lineRule="auto"/>
        <w:jc w:val="both"/>
        <w:rPr>
          <w:rFonts w:ascii="Open Sans" w:hAnsi="Open Sans" w:cs="Open Sans"/>
          <w:lang w:val="fr-FR"/>
        </w:rPr>
      </w:pPr>
    </w:p>
    <w:p w14:paraId="2F68CB52" w14:textId="18609E47" w:rsidR="00315BF4" w:rsidRPr="00B71A50" w:rsidRDefault="00315BF4" w:rsidP="00B71A50">
      <w:pPr>
        <w:spacing w:after="0" w:line="240" w:lineRule="auto"/>
        <w:jc w:val="both"/>
        <w:rPr>
          <w:rFonts w:ascii="Open Sans" w:hAnsi="Open Sans" w:cs="Open Sans"/>
          <w:lang w:val="fr-FR"/>
        </w:rPr>
      </w:pPr>
      <w:r w:rsidRPr="00B71A50">
        <w:rPr>
          <w:rFonts w:ascii="Open Sans" w:hAnsi="Open Sans" w:cs="Open Sans"/>
          <w:lang w:val="fr-FR"/>
        </w:rPr>
        <w:t xml:space="preserve"> La première phase de l’intervention a débuté dans le Grand Sud avec la mise en réseau des institutions sanitaires pour l’offre de services VIH intégrés à la santé maternelle et néonatale et est supporté par le Système des Nations Unies. Le processus d’extension pour le Grand Nord a été lancé et les plans départementaux sont en cours de préparation par l’équipe technique de l’UCMIT</w:t>
      </w:r>
      <w:r w:rsidR="005638E5" w:rsidRPr="00B71A50">
        <w:rPr>
          <w:rFonts w:ascii="Open Sans" w:hAnsi="Open Sans" w:cs="Open Sans"/>
          <w:lang w:val="fr-FR"/>
        </w:rPr>
        <w:t>.</w:t>
      </w:r>
      <w:r w:rsidRPr="00B71A50">
        <w:rPr>
          <w:rFonts w:ascii="Open Sans" w:hAnsi="Open Sans" w:cs="Open Sans"/>
          <w:lang w:val="fr-FR"/>
        </w:rPr>
        <w:t xml:space="preserve"> Cependant afin de disposer des éléments pour l’élaboration du budget : estimation des besoins en intrants, matériel et équipements de laboratoire, Ressources Humaines, formation du personnel, rencontre de suivi, les services d’un consultant sont requis pour réaliser ce volet du plan de réseautage et le finaliser.</w:t>
      </w:r>
    </w:p>
    <w:p w14:paraId="7F6CD8B2" w14:textId="77777777" w:rsidR="00C12B08" w:rsidRPr="00B71A50" w:rsidRDefault="00C12B08" w:rsidP="00B71A50">
      <w:pPr>
        <w:spacing w:after="0" w:line="240" w:lineRule="auto"/>
        <w:jc w:val="both"/>
        <w:rPr>
          <w:rFonts w:ascii="Open Sans" w:hAnsi="Open Sans" w:cs="Open Sans"/>
          <w:lang w:val="fr-FR"/>
        </w:rPr>
      </w:pPr>
    </w:p>
    <w:p w14:paraId="624CE639" w14:textId="77777777" w:rsidR="00315BF4" w:rsidRPr="00B71A50" w:rsidRDefault="00315BF4" w:rsidP="00B71A50">
      <w:pPr>
        <w:spacing w:after="0" w:line="240" w:lineRule="auto"/>
        <w:jc w:val="both"/>
        <w:rPr>
          <w:rFonts w:ascii="Open Sans" w:hAnsi="Open Sans" w:cs="Open Sans"/>
          <w:b/>
          <w:bCs/>
          <w:lang w:val="fr-FR"/>
        </w:rPr>
      </w:pPr>
      <w:r w:rsidRPr="00B71A50">
        <w:rPr>
          <w:rFonts w:ascii="Open Sans" w:hAnsi="Open Sans" w:cs="Open Sans"/>
          <w:b/>
          <w:bCs/>
          <w:lang w:val="fr-FR"/>
        </w:rPr>
        <w:t>2.- But et objectifs de la consultation</w:t>
      </w:r>
    </w:p>
    <w:p w14:paraId="0CA41BA5" w14:textId="7136FB51" w:rsidR="00C12B08" w:rsidRPr="00B71A50" w:rsidRDefault="00315BF4" w:rsidP="00B71A50">
      <w:pPr>
        <w:spacing w:after="0" w:line="240" w:lineRule="auto"/>
        <w:jc w:val="both"/>
        <w:rPr>
          <w:rFonts w:ascii="Open Sans" w:hAnsi="Open Sans" w:cs="Open Sans"/>
          <w:lang w:val="fr-FR"/>
        </w:rPr>
      </w:pPr>
      <w:r w:rsidRPr="00B71A50">
        <w:rPr>
          <w:rFonts w:ascii="Open Sans" w:hAnsi="Open Sans" w:cs="Open Sans"/>
          <w:lang w:val="fr-FR"/>
        </w:rPr>
        <w:t>Fournir une assistance technique à l’UCMIT/PNLS   pour la finalisation des plans de réseautage des départements de l’Artibonite, du Centre et de l’Ouest, du Nord</w:t>
      </w:r>
      <w:r w:rsidR="00C12B08" w:rsidRPr="00B71A50">
        <w:rPr>
          <w:rFonts w:ascii="Open Sans" w:hAnsi="Open Sans" w:cs="Open Sans"/>
          <w:lang w:val="fr-FR"/>
        </w:rPr>
        <w:t>.</w:t>
      </w:r>
    </w:p>
    <w:p w14:paraId="3B2905F4" w14:textId="19FCA71F" w:rsidR="00315BF4" w:rsidRPr="00B71A50" w:rsidRDefault="00315BF4" w:rsidP="00B71A50">
      <w:pPr>
        <w:spacing w:after="0" w:line="240" w:lineRule="auto"/>
        <w:jc w:val="both"/>
        <w:rPr>
          <w:rFonts w:ascii="Open Sans" w:hAnsi="Open Sans" w:cs="Open Sans"/>
          <w:lang w:val="fr-FR"/>
        </w:rPr>
      </w:pPr>
      <w:r w:rsidRPr="00B71A50">
        <w:rPr>
          <w:rFonts w:ascii="Open Sans" w:hAnsi="Open Sans" w:cs="Open Sans"/>
          <w:b/>
          <w:bCs/>
          <w:lang w:val="fr-FR"/>
        </w:rPr>
        <w:t xml:space="preserve">Les objectifs spécifiques poursuivis sont les suivants : </w:t>
      </w:r>
    </w:p>
    <w:p w14:paraId="2FD6350A" w14:textId="77777777" w:rsidR="00315BF4" w:rsidRPr="00B71A50" w:rsidRDefault="00315BF4" w:rsidP="00B71A50">
      <w:pPr>
        <w:numPr>
          <w:ilvl w:val="0"/>
          <w:numId w:val="1"/>
        </w:numPr>
        <w:spacing w:after="0" w:line="240" w:lineRule="auto"/>
        <w:ind w:left="270" w:hanging="180"/>
        <w:jc w:val="both"/>
        <w:rPr>
          <w:rFonts w:ascii="Open Sans" w:hAnsi="Open Sans" w:cs="Open Sans"/>
          <w:lang w:val="fr-FR"/>
        </w:rPr>
      </w:pPr>
      <w:r w:rsidRPr="00B71A50">
        <w:rPr>
          <w:rFonts w:ascii="Open Sans" w:hAnsi="Open Sans" w:cs="Open Sans"/>
          <w:lang w:val="fr-FR"/>
        </w:rPr>
        <w:t>Finaliser les documents à partir des drafts de plans élaborés par l’équipe technique de l’UCMIT/PNLS en tenant en compte les réalités dans l’offre et la demande de services.</w:t>
      </w:r>
    </w:p>
    <w:p w14:paraId="47BD7A7A" w14:textId="77777777" w:rsidR="00315BF4" w:rsidRPr="00B71A50" w:rsidRDefault="00315BF4" w:rsidP="00B71A50">
      <w:pPr>
        <w:numPr>
          <w:ilvl w:val="0"/>
          <w:numId w:val="1"/>
        </w:numPr>
        <w:spacing w:after="0" w:line="240" w:lineRule="auto"/>
        <w:ind w:left="270" w:hanging="180"/>
        <w:jc w:val="both"/>
        <w:rPr>
          <w:rFonts w:ascii="Open Sans" w:hAnsi="Open Sans" w:cs="Open Sans"/>
          <w:lang w:val="fr-FR"/>
        </w:rPr>
      </w:pPr>
      <w:r w:rsidRPr="00B71A50">
        <w:rPr>
          <w:rFonts w:ascii="Open Sans" w:hAnsi="Open Sans" w:cs="Open Sans"/>
          <w:lang w:val="fr-FR"/>
        </w:rPr>
        <w:t>Proposer un plan de suivi-évaluation pour suivre la mise en œuvre de la stratégie de réseautage, incluant un cadre de résultats où les résultats à court et moyen terme, les parties prenantes ainsi que leurs responsabilités sont clairement identifiés.</w:t>
      </w:r>
    </w:p>
    <w:p w14:paraId="4B107CDA" w14:textId="77777777" w:rsidR="00315BF4" w:rsidRPr="00B71A50" w:rsidRDefault="00315BF4" w:rsidP="00B71A50">
      <w:pPr>
        <w:spacing w:after="0" w:line="240" w:lineRule="auto"/>
        <w:jc w:val="both"/>
        <w:rPr>
          <w:rFonts w:ascii="Open Sans" w:hAnsi="Open Sans" w:cs="Open Sans"/>
          <w:lang w:val="fr-FR"/>
        </w:rPr>
      </w:pPr>
    </w:p>
    <w:p w14:paraId="52928B90" w14:textId="77777777" w:rsidR="00315BF4" w:rsidRPr="00B71A50" w:rsidRDefault="00315BF4" w:rsidP="00B71A50">
      <w:pPr>
        <w:spacing w:after="0" w:line="240" w:lineRule="auto"/>
        <w:jc w:val="both"/>
        <w:rPr>
          <w:rFonts w:ascii="Open Sans" w:hAnsi="Open Sans" w:cs="Open Sans"/>
          <w:b/>
          <w:bCs/>
          <w:lang w:val="fr-FR"/>
        </w:rPr>
      </w:pPr>
      <w:r w:rsidRPr="00B71A50">
        <w:rPr>
          <w:rFonts w:ascii="Open Sans" w:hAnsi="Open Sans" w:cs="Open Sans"/>
          <w:b/>
          <w:bCs/>
          <w:lang w:val="fr-FR"/>
        </w:rPr>
        <w:t>3.- Extrants (Livrables)</w:t>
      </w:r>
    </w:p>
    <w:p w14:paraId="5B010161" w14:textId="77777777" w:rsidR="00315BF4" w:rsidRPr="00B71A50" w:rsidRDefault="00315BF4" w:rsidP="00B71A50">
      <w:pPr>
        <w:spacing w:after="0" w:line="240" w:lineRule="auto"/>
        <w:jc w:val="both"/>
        <w:rPr>
          <w:rFonts w:ascii="Open Sans" w:hAnsi="Open Sans" w:cs="Open Sans"/>
          <w:lang w:val="fr-FR"/>
        </w:rPr>
      </w:pPr>
      <w:r w:rsidRPr="00B71A50">
        <w:rPr>
          <w:rFonts w:ascii="Open Sans" w:hAnsi="Open Sans" w:cs="Open Sans"/>
          <w:lang w:val="fr-FR"/>
        </w:rPr>
        <w:t xml:space="preserve">Les principaux extrants attendus de cette consultation sont : </w:t>
      </w:r>
    </w:p>
    <w:p w14:paraId="509EDFEC" w14:textId="77777777" w:rsidR="00315BF4" w:rsidRPr="00B71A50" w:rsidRDefault="00315BF4" w:rsidP="00B71A50">
      <w:pPr>
        <w:numPr>
          <w:ilvl w:val="0"/>
          <w:numId w:val="2"/>
        </w:numPr>
        <w:spacing w:after="0" w:line="240" w:lineRule="auto"/>
        <w:ind w:left="270" w:hanging="180"/>
        <w:jc w:val="both"/>
        <w:rPr>
          <w:rFonts w:ascii="Open Sans" w:hAnsi="Open Sans" w:cs="Open Sans"/>
          <w:lang w:val="fr-FR"/>
        </w:rPr>
      </w:pPr>
      <w:r w:rsidRPr="00B71A50">
        <w:rPr>
          <w:rFonts w:ascii="Open Sans" w:hAnsi="Open Sans" w:cs="Open Sans"/>
          <w:lang w:val="fr-FR"/>
        </w:rPr>
        <w:t>Un plan de travail selon la démarche méthodologique validée par l’UCMIT/PNLS après la rencontre avec le consultant qui aura gagné le marché selon les procédures en vigueur au niveau de l’UCMIT/PNLS. Ce plan de travail doit prendre en compte les documents élaborés par l’équipe technique de l’UCMIT/PNLS qui permettront au consultant d’avoir les informations nécessaires à la finalisation des plans départementaux   incluant les aspects cités plus haut et les indicateurs nécessaires au suivi de la mise en œuvre des plans de réseautage.</w:t>
      </w:r>
    </w:p>
    <w:p w14:paraId="7A0139F9" w14:textId="77777777" w:rsidR="00315BF4" w:rsidRPr="00B71A50" w:rsidRDefault="00315BF4" w:rsidP="00B71A50">
      <w:pPr>
        <w:numPr>
          <w:ilvl w:val="0"/>
          <w:numId w:val="2"/>
        </w:numPr>
        <w:spacing w:after="0" w:line="240" w:lineRule="auto"/>
        <w:ind w:left="270" w:hanging="180"/>
        <w:jc w:val="both"/>
        <w:rPr>
          <w:rFonts w:ascii="Open Sans" w:hAnsi="Open Sans" w:cs="Open Sans"/>
          <w:lang w:val="fr-FR"/>
        </w:rPr>
      </w:pPr>
      <w:r w:rsidRPr="00B71A50">
        <w:rPr>
          <w:rFonts w:ascii="Open Sans" w:hAnsi="Open Sans" w:cs="Open Sans"/>
          <w:lang w:val="fr-FR"/>
        </w:rPr>
        <w:lastRenderedPageBreak/>
        <w:t>Un rapport préliminaire des Plans d’actions départementaux couvrant les points cités plus haut sera soumis au PNLS pour commentaires avec les différentes parties prenantes. Ce plan sera présenté lors d’une rencontre animée par le consultant</w:t>
      </w:r>
    </w:p>
    <w:p w14:paraId="1C19EC1C" w14:textId="77777777" w:rsidR="00315BF4" w:rsidRPr="00B71A50" w:rsidRDefault="00315BF4" w:rsidP="00B71A50">
      <w:pPr>
        <w:numPr>
          <w:ilvl w:val="0"/>
          <w:numId w:val="2"/>
        </w:numPr>
        <w:spacing w:after="0" w:line="240" w:lineRule="auto"/>
        <w:ind w:left="270" w:hanging="180"/>
        <w:jc w:val="both"/>
        <w:rPr>
          <w:rFonts w:ascii="Open Sans" w:hAnsi="Open Sans" w:cs="Open Sans"/>
          <w:lang w:val="fr-FR"/>
        </w:rPr>
      </w:pPr>
      <w:r w:rsidRPr="00B71A50">
        <w:rPr>
          <w:rFonts w:ascii="Open Sans" w:hAnsi="Open Sans" w:cs="Open Sans"/>
          <w:lang w:val="fr-FR"/>
        </w:rPr>
        <w:t>La version finale des Plans d’actions départementaux avec les commentaires reçus lors de la rencontre avec les parties prenantes</w:t>
      </w:r>
    </w:p>
    <w:p w14:paraId="2983C251" w14:textId="77777777" w:rsidR="00315BF4" w:rsidRPr="00B71A50" w:rsidRDefault="00315BF4" w:rsidP="00B71A50">
      <w:pPr>
        <w:spacing w:after="0" w:line="240" w:lineRule="auto"/>
        <w:jc w:val="both"/>
        <w:rPr>
          <w:rFonts w:ascii="Open Sans" w:hAnsi="Open Sans" w:cs="Open Sans"/>
          <w:lang w:val="fr-FR"/>
        </w:rPr>
      </w:pPr>
    </w:p>
    <w:p w14:paraId="3EC27697" w14:textId="77777777" w:rsidR="00315BF4" w:rsidRPr="00B71A50" w:rsidRDefault="00315BF4" w:rsidP="00B71A50">
      <w:pPr>
        <w:spacing w:after="0" w:line="240" w:lineRule="auto"/>
        <w:jc w:val="both"/>
        <w:rPr>
          <w:rFonts w:ascii="Open Sans" w:hAnsi="Open Sans" w:cs="Open Sans"/>
          <w:b/>
          <w:bCs/>
          <w:lang w:val="fr-FR"/>
        </w:rPr>
      </w:pPr>
      <w:r w:rsidRPr="00B71A50">
        <w:rPr>
          <w:rFonts w:ascii="Open Sans" w:hAnsi="Open Sans" w:cs="Open Sans"/>
          <w:b/>
          <w:bCs/>
          <w:lang w:val="fr-FR"/>
        </w:rPr>
        <w:t>4.- Activités/Tâches du consultant</w:t>
      </w:r>
    </w:p>
    <w:p w14:paraId="454C5E8A" w14:textId="77777777" w:rsidR="00315BF4" w:rsidRPr="00B71A50" w:rsidRDefault="00315BF4" w:rsidP="00B71A50">
      <w:pPr>
        <w:spacing w:after="0" w:line="240" w:lineRule="auto"/>
        <w:jc w:val="both"/>
        <w:rPr>
          <w:rFonts w:ascii="Open Sans" w:hAnsi="Open Sans" w:cs="Open Sans"/>
          <w:lang w:val="fr-FR"/>
        </w:rPr>
      </w:pPr>
      <w:r w:rsidRPr="00B71A50">
        <w:rPr>
          <w:rFonts w:ascii="Open Sans" w:hAnsi="Open Sans" w:cs="Open Sans"/>
          <w:lang w:val="fr-FR"/>
        </w:rPr>
        <w:t>Le consultant aura pour taches de :</w:t>
      </w:r>
    </w:p>
    <w:p w14:paraId="3845B240" w14:textId="77777777" w:rsidR="00554364" w:rsidRDefault="00315BF4" w:rsidP="00554364">
      <w:pPr>
        <w:numPr>
          <w:ilvl w:val="0"/>
          <w:numId w:val="3"/>
        </w:numPr>
        <w:spacing w:after="0" w:line="240" w:lineRule="auto"/>
        <w:ind w:left="270" w:hanging="180"/>
        <w:jc w:val="both"/>
        <w:rPr>
          <w:rFonts w:ascii="Open Sans" w:hAnsi="Open Sans" w:cs="Open Sans"/>
          <w:lang w:val="fr-FR"/>
        </w:rPr>
      </w:pPr>
      <w:r w:rsidRPr="00B71A50">
        <w:rPr>
          <w:rFonts w:ascii="Open Sans" w:hAnsi="Open Sans" w:cs="Open Sans"/>
          <w:lang w:val="fr-FR"/>
        </w:rPr>
        <w:t xml:space="preserve">Finaliser les </w:t>
      </w:r>
      <w:bookmarkStart w:id="0" w:name="_Hlk70675272"/>
      <w:r w:rsidRPr="00B71A50">
        <w:rPr>
          <w:rFonts w:ascii="Open Sans" w:hAnsi="Open Sans" w:cs="Open Sans"/>
          <w:lang w:val="fr-FR"/>
        </w:rPr>
        <w:t xml:space="preserve">plans d’action </w:t>
      </w:r>
      <w:bookmarkEnd w:id="0"/>
      <w:r w:rsidRPr="00B71A50">
        <w:rPr>
          <w:rFonts w:ascii="Open Sans" w:hAnsi="Open Sans" w:cs="Open Sans"/>
          <w:lang w:val="fr-FR"/>
        </w:rPr>
        <w:t>départementaux, du budget avec les estimations des besoins en précisant les rôles et responsabilités de l’ensemble des acteurs</w:t>
      </w:r>
    </w:p>
    <w:p w14:paraId="5C83DE1A" w14:textId="3317EF57" w:rsidR="00315BF4" w:rsidRPr="00554364" w:rsidRDefault="00315BF4" w:rsidP="00554364">
      <w:pPr>
        <w:numPr>
          <w:ilvl w:val="0"/>
          <w:numId w:val="3"/>
        </w:numPr>
        <w:spacing w:after="0" w:line="240" w:lineRule="auto"/>
        <w:ind w:left="270" w:hanging="180"/>
        <w:jc w:val="both"/>
        <w:rPr>
          <w:rFonts w:ascii="Open Sans" w:hAnsi="Open Sans" w:cs="Open Sans"/>
          <w:lang w:val="fr-FR"/>
        </w:rPr>
      </w:pPr>
      <w:r w:rsidRPr="00554364">
        <w:rPr>
          <w:rFonts w:ascii="Open Sans" w:hAnsi="Open Sans" w:cs="Open Sans"/>
          <w:lang w:val="fr-FR"/>
        </w:rPr>
        <w:t xml:space="preserve">Faciliter et animer la réunion de présentation du document aux parties prenantes. </w:t>
      </w:r>
    </w:p>
    <w:p w14:paraId="0F99F4CE" w14:textId="78C85153" w:rsidR="00315BF4" w:rsidRPr="00B71A50" w:rsidRDefault="00315BF4" w:rsidP="00554364">
      <w:pPr>
        <w:numPr>
          <w:ilvl w:val="0"/>
          <w:numId w:val="3"/>
        </w:numPr>
        <w:spacing w:after="0" w:line="240" w:lineRule="auto"/>
        <w:ind w:left="270" w:hanging="180"/>
        <w:jc w:val="both"/>
        <w:rPr>
          <w:rFonts w:ascii="Open Sans" w:hAnsi="Open Sans" w:cs="Open Sans"/>
          <w:lang w:val="fr-FR"/>
        </w:rPr>
      </w:pPr>
      <w:r w:rsidRPr="00B71A50">
        <w:rPr>
          <w:rFonts w:ascii="Open Sans" w:hAnsi="Open Sans" w:cs="Open Sans"/>
          <w:lang w:val="fr-FR"/>
        </w:rPr>
        <w:t xml:space="preserve">Soumettre les Plans d’action départementaux finalisés en prenant en compte les commentaires reçus lors de la rencontre avec les parties prenantes. </w:t>
      </w:r>
    </w:p>
    <w:p w14:paraId="20512C80" w14:textId="77777777" w:rsidR="00315BF4" w:rsidRPr="00B71A50" w:rsidRDefault="00315BF4" w:rsidP="00B71A50">
      <w:pPr>
        <w:spacing w:after="0" w:line="240" w:lineRule="auto"/>
        <w:jc w:val="both"/>
        <w:rPr>
          <w:rFonts w:ascii="Open Sans" w:hAnsi="Open Sans" w:cs="Open Sans"/>
          <w:lang w:val="fr-FR"/>
        </w:rPr>
      </w:pPr>
    </w:p>
    <w:p w14:paraId="6524DDAD" w14:textId="77777777" w:rsidR="00315BF4" w:rsidRPr="00B71A50" w:rsidRDefault="00315BF4" w:rsidP="00B71A50">
      <w:pPr>
        <w:spacing w:after="0" w:line="240" w:lineRule="auto"/>
        <w:jc w:val="both"/>
        <w:rPr>
          <w:rFonts w:ascii="Open Sans" w:hAnsi="Open Sans" w:cs="Open Sans"/>
          <w:b/>
          <w:bCs/>
          <w:lang w:val="fr-FR"/>
        </w:rPr>
      </w:pPr>
      <w:r w:rsidRPr="00B71A50">
        <w:rPr>
          <w:rFonts w:ascii="Open Sans" w:hAnsi="Open Sans" w:cs="Open Sans"/>
          <w:b/>
          <w:bCs/>
          <w:lang w:val="fr-FR"/>
        </w:rPr>
        <w:t>5.- Durée de la mission</w:t>
      </w:r>
    </w:p>
    <w:p w14:paraId="52591202" w14:textId="77777777" w:rsidR="00315BF4" w:rsidRPr="00B71A50" w:rsidRDefault="00315BF4" w:rsidP="00B71A50">
      <w:pPr>
        <w:spacing w:after="0" w:line="240" w:lineRule="auto"/>
        <w:jc w:val="both"/>
        <w:rPr>
          <w:rFonts w:ascii="Open Sans" w:hAnsi="Open Sans" w:cs="Open Sans"/>
          <w:lang w:val="fr-FR"/>
        </w:rPr>
      </w:pPr>
      <w:r w:rsidRPr="00B71A50">
        <w:rPr>
          <w:rFonts w:ascii="Open Sans" w:hAnsi="Open Sans" w:cs="Open Sans"/>
          <w:lang w:val="fr-FR"/>
        </w:rPr>
        <w:t xml:space="preserve">La durée de cette consultation est estimée à soixante (20) jours ouvrables. </w:t>
      </w:r>
    </w:p>
    <w:p w14:paraId="3E14C09A" w14:textId="77777777" w:rsidR="00315BF4" w:rsidRPr="00B71A50" w:rsidRDefault="00315BF4" w:rsidP="00B71A50">
      <w:pPr>
        <w:spacing w:after="0" w:line="240" w:lineRule="auto"/>
        <w:jc w:val="both"/>
        <w:rPr>
          <w:rFonts w:ascii="Open Sans" w:hAnsi="Open Sans" w:cs="Open Sans"/>
          <w:lang w:val="fr-FR"/>
        </w:rPr>
      </w:pPr>
    </w:p>
    <w:p w14:paraId="3D2DA0AC" w14:textId="77777777" w:rsidR="00315BF4" w:rsidRPr="00B71A50" w:rsidRDefault="00315BF4" w:rsidP="00B71A50">
      <w:pPr>
        <w:spacing w:after="0" w:line="240" w:lineRule="auto"/>
        <w:jc w:val="both"/>
        <w:rPr>
          <w:rFonts w:ascii="Open Sans" w:hAnsi="Open Sans" w:cs="Open Sans"/>
          <w:b/>
          <w:bCs/>
          <w:lang w:val="fr-FR"/>
        </w:rPr>
      </w:pPr>
      <w:r w:rsidRPr="00B71A50">
        <w:rPr>
          <w:rFonts w:ascii="Open Sans" w:hAnsi="Open Sans" w:cs="Open Sans"/>
          <w:b/>
          <w:bCs/>
          <w:lang w:val="fr-FR"/>
        </w:rPr>
        <w:t>6.- Profil du consultant</w:t>
      </w:r>
    </w:p>
    <w:p w14:paraId="1A79C053" w14:textId="77777777" w:rsidR="00315BF4" w:rsidRPr="00B71A50" w:rsidRDefault="00315BF4" w:rsidP="00B71A50">
      <w:pPr>
        <w:spacing w:after="0" w:line="240" w:lineRule="auto"/>
        <w:jc w:val="both"/>
        <w:rPr>
          <w:rFonts w:ascii="Open Sans" w:hAnsi="Open Sans" w:cs="Open Sans"/>
          <w:lang w:val="fr-FR"/>
        </w:rPr>
      </w:pPr>
      <w:r w:rsidRPr="00B71A50">
        <w:rPr>
          <w:rFonts w:ascii="Open Sans" w:hAnsi="Open Sans" w:cs="Open Sans"/>
          <w:lang w:val="fr-FR"/>
        </w:rPr>
        <w:t>Le consultant doit détenir les qualifications et les expériences suivantes :</w:t>
      </w:r>
    </w:p>
    <w:p w14:paraId="4BD401D3" w14:textId="77777777" w:rsidR="00315BF4" w:rsidRPr="00B71A50" w:rsidRDefault="00315BF4" w:rsidP="00554364">
      <w:pPr>
        <w:numPr>
          <w:ilvl w:val="0"/>
          <w:numId w:val="4"/>
        </w:numPr>
        <w:tabs>
          <w:tab w:val="left" w:pos="810"/>
        </w:tabs>
        <w:spacing w:after="0" w:line="240" w:lineRule="auto"/>
        <w:ind w:left="270" w:hanging="180"/>
        <w:jc w:val="both"/>
        <w:rPr>
          <w:rFonts w:ascii="Open Sans" w:hAnsi="Open Sans" w:cs="Open Sans"/>
          <w:lang w:val="fr-FR"/>
        </w:rPr>
      </w:pPr>
      <w:r w:rsidRPr="00B71A50">
        <w:rPr>
          <w:rFonts w:ascii="Open Sans" w:hAnsi="Open Sans" w:cs="Open Sans"/>
          <w:lang w:val="fr-FR"/>
        </w:rPr>
        <w:t>Diplôme de 2e cycle en santé publique, planification et gestion de projet, sciences sociales et développement ou une discipline connexe ;</w:t>
      </w:r>
    </w:p>
    <w:p w14:paraId="1F56D50B" w14:textId="77777777" w:rsidR="00315BF4" w:rsidRPr="00B71A50" w:rsidRDefault="00315BF4" w:rsidP="00554364">
      <w:pPr>
        <w:numPr>
          <w:ilvl w:val="0"/>
          <w:numId w:val="4"/>
        </w:numPr>
        <w:tabs>
          <w:tab w:val="left" w:pos="810"/>
        </w:tabs>
        <w:spacing w:after="0" w:line="240" w:lineRule="auto"/>
        <w:ind w:left="270" w:hanging="180"/>
        <w:jc w:val="both"/>
        <w:rPr>
          <w:rFonts w:ascii="Open Sans" w:hAnsi="Open Sans" w:cs="Open Sans"/>
          <w:lang w:val="fr-FR"/>
        </w:rPr>
      </w:pPr>
      <w:r w:rsidRPr="00B71A50">
        <w:rPr>
          <w:rFonts w:ascii="Open Sans" w:hAnsi="Open Sans" w:cs="Open Sans"/>
          <w:lang w:val="fr-FR"/>
        </w:rPr>
        <w:t>Diplôme de premier cycle en gestion, sciences de la santé, sciences sociales mais avec des connaissances avérées en planification, suivi-évaluation ou organisation des services de santé ;</w:t>
      </w:r>
    </w:p>
    <w:p w14:paraId="6137D538" w14:textId="77777777" w:rsidR="00315BF4" w:rsidRPr="00B71A50" w:rsidRDefault="00315BF4" w:rsidP="00554364">
      <w:pPr>
        <w:numPr>
          <w:ilvl w:val="0"/>
          <w:numId w:val="4"/>
        </w:numPr>
        <w:tabs>
          <w:tab w:val="left" w:pos="810"/>
        </w:tabs>
        <w:spacing w:after="0" w:line="240" w:lineRule="auto"/>
        <w:ind w:left="270" w:hanging="180"/>
        <w:jc w:val="both"/>
        <w:rPr>
          <w:rFonts w:ascii="Open Sans" w:hAnsi="Open Sans" w:cs="Open Sans"/>
          <w:lang w:val="fr-FR"/>
        </w:rPr>
      </w:pPr>
      <w:r w:rsidRPr="00B71A50">
        <w:rPr>
          <w:rFonts w:ascii="Open Sans" w:hAnsi="Open Sans" w:cs="Open Sans"/>
          <w:lang w:val="fr-FR"/>
        </w:rPr>
        <w:t>Expérience démontrée dans la réalisation de consultation en santé publique ou planification stratégique ou l’élaboration des plans opérationnels (au moins 5 ans). La conduite d’un travail antérieur similaire est un atout majeur ;</w:t>
      </w:r>
    </w:p>
    <w:p w14:paraId="35FBB776" w14:textId="1CE4C941" w:rsidR="00315BF4" w:rsidRPr="00B71A50" w:rsidRDefault="00315BF4" w:rsidP="00554364">
      <w:pPr>
        <w:numPr>
          <w:ilvl w:val="0"/>
          <w:numId w:val="4"/>
        </w:numPr>
        <w:tabs>
          <w:tab w:val="left" w:pos="810"/>
        </w:tabs>
        <w:spacing w:after="0" w:line="240" w:lineRule="auto"/>
        <w:ind w:left="270" w:hanging="180"/>
        <w:jc w:val="both"/>
        <w:rPr>
          <w:rFonts w:ascii="Open Sans" w:hAnsi="Open Sans" w:cs="Open Sans"/>
          <w:lang w:val="fr-FR"/>
        </w:rPr>
      </w:pPr>
      <w:r w:rsidRPr="00B71A50">
        <w:rPr>
          <w:rFonts w:ascii="Open Sans" w:hAnsi="Open Sans" w:cs="Open Sans"/>
          <w:lang w:val="fr-FR"/>
        </w:rPr>
        <w:t>Dans le cas d’une firme, la soumission d’une copie de la patente valide au moment de la soumission, l’autorisation de fonctionnement est obligatoire</w:t>
      </w:r>
      <w:r w:rsidR="0028308D" w:rsidRPr="00B71A50">
        <w:rPr>
          <w:rFonts w:ascii="Open Sans" w:hAnsi="Open Sans" w:cs="Open Sans"/>
          <w:lang w:val="fr-FR"/>
        </w:rPr>
        <w:t xml:space="preserve"> et le CV des personnels clés</w:t>
      </w:r>
      <w:r w:rsidRPr="00B71A50">
        <w:rPr>
          <w:rFonts w:ascii="Open Sans" w:hAnsi="Open Sans" w:cs="Open Sans"/>
          <w:lang w:val="fr-FR"/>
        </w:rPr>
        <w:t xml:space="preserve"> ;</w:t>
      </w:r>
    </w:p>
    <w:p w14:paraId="14B9F5D9" w14:textId="77777777" w:rsidR="00315BF4" w:rsidRPr="00B71A50" w:rsidRDefault="00315BF4" w:rsidP="00554364">
      <w:pPr>
        <w:numPr>
          <w:ilvl w:val="0"/>
          <w:numId w:val="4"/>
        </w:numPr>
        <w:tabs>
          <w:tab w:val="left" w:pos="810"/>
        </w:tabs>
        <w:spacing w:after="0" w:line="240" w:lineRule="auto"/>
        <w:ind w:left="270" w:hanging="180"/>
        <w:jc w:val="both"/>
        <w:rPr>
          <w:rFonts w:ascii="Open Sans" w:hAnsi="Open Sans" w:cs="Open Sans"/>
          <w:lang w:val="fr-FR"/>
        </w:rPr>
      </w:pPr>
      <w:r w:rsidRPr="00B71A50">
        <w:rPr>
          <w:rFonts w:ascii="Open Sans" w:hAnsi="Open Sans" w:cs="Open Sans"/>
          <w:lang w:val="fr-FR"/>
        </w:rPr>
        <w:t>Bonne connaissance du système de santé en Haïti et surtout de la riposte nationale face à l’épidémie de VIH en Haïti.</w:t>
      </w:r>
    </w:p>
    <w:p w14:paraId="3D19405A" w14:textId="77777777" w:rsidR="00315BF4" w:rsidRPr="00B71A50" w:rsidRDefault="00315BF4" w:rsidP="00B71A50">
      <w:pPr>
        <w:spacing w:after="0" w:line="240" w:lineRule="auto"/>
        <w:jc w:val="both"/>
        <w:rPr>
          <w:rFonts w:ascii="Open Sans" w:hAnsi="Open Sans" w:cs="Open Sans"/>
          <w:lang w:val="fr-FR"/>
        </w:rPr>
      </w:pPr>
    </w:p>
    <w:p w14:paraId="0CC69138" w14:textId="77777777" w:rsidR="00315BF4" w:rsidRPr="00B71A50" w:rsidRDefault="00315BF4" w:rsidP="00B71A50">
      <w:pPr>
        <w:spacing w:after="0" w:line="240" w:lineRule="auto"/>
        <w:jc w:val="both"/>
        <w:rPr>
          <w:rFonts w:ascii="Open Sans" w:hAnsi="Open Sans" w:cs="Open Sans"/>
          <w:b/>
          <w:bCs/>
          <w:lang w:val="fr-FR"/>
        </w:rPr>
      </w:pPr>
      <w:r w:rsidRPr="00B71A50">
        <w:rPr>
          <w:rFonts w:ascii="Open Sans" w:hAnsi="Open Sans" w:cs="Open Sans"/>
          <w:b/>
          <w:bCs/>
          <w:lang w:val="fr-FR"/>
        </w:rPr>
        <w:t xml:space="preserve">7.- Composition du dossier </w:t>
      </w:r>
    </w:p>
    <w:p w14:paraId="38BDC0A0" w14:textId="77777777" w:rsidR="00315BF4" w:rsidRPr="00B71A50" w:rsidRDefault="00315BF4" w:rsidP="00B71A50">
      <w:pPr>
        <w:spacing w:after="0" w:line="240" w:lineRule="auto"/>
        <w:jc w:val="both"/>
        <w:rPr>
          <w:rFonts w:ascii="Open Sans" w:hAnsi="Open Sans" w:cs="Open Sans"/>
          <w:lang w:val="fr-FR"/>
        </w:rPr>
      </w:pPr>
      <w:r w:rsidRPr="00B71A50">
        <w:rPr>
          <w:rFonts w:ascii="Open Sans" w:hAnsi="Open Sans" w:cs="Open Sans"/>
          <w:lang w:val="fr-FR"/>
        </w:rPr>
        <w:t>Le dossier de candidature doit contenir :</w:t>
      </w:r>
    </w:p>
    <w:p w14:paraId="62938534" w14:textId="77777777" w:rsidR="00315BF4" w:rsidRPr="00B71A50" w:rsidRDefault="00315BF4" w:rsidP="00EC2433">
      <w:pPr>
        <w:numPr>
          <w:ilvl w:val="0"/>
          <w:numId w:val="5"/>
        </w:numPr>
        <w:tabs>
          <w:tab w:val="left" w:pos="450"/>
        </w:tabs>
        <w:spacing w:after="0" w:line="240" w:lineRule="auto"/>
        <w:ind w:left="360" w:hanging="270"/>
        <w:jc w:val="both"/>
        <w:rPr>
          <w:rFonts w:ascii="Open Sans" w:hAnsi="Open Sans" w:cs="Open Sans"/>
          <w:lang w:val="fr-FR"/>
        </w:rPr>
      </w:pPr>
      <w:r w:rsidRPr="00B71A50">
        <w:rPr>
          <w:rFonts w:ascii="Open Sans" w:hAnsi="Open Sans" w:cs="Open Sans"/>
          <w:lang w:val="fr-FR"/>
        </w:rPr>
        <w:t>Une offre technique (OT) et une offre financière (OF)</w:t>
      </w:r>
    </w:p>
    <w:p w14:paraId="00685816" w14:textId="2638C9A1" w:rsidR="006A7D80" w:rsidRPr="00B71A50" w:rsidRDefault="00315BF4" w:rsidP="00EC2433">
      <w:pPr>
        <w:numPr>
          <w:ilvl w:val="0"/>
          <w:numId w:val="6"/>
        </w:numPr>
        <w:tabs>
          <w:tab w:val="left" w:pos="450"/>
        </w:tabs>
        <w:spacing w:after="0" w:line="240" w:lineRule="auto"/>
        <w:ind w:left="360" w:hanging="270"/>
        <w:jc w:val="both"/>
        <w:rPr>
          <w:rFonts w:ascii="Open Sans" w:hAnsi="Open Sans" w:cs="Open Sans"/>
          <w:lang w:val="fr-FR"/>
        </w:rPr>
      </w:pPr>
      <w:r w:rsidRPr="00B71A50">
        <w:rPr>
          <w:rFonts w:ascii="Open Sans" w:hAnsi="Open Sans" w:cs="Open Sans"/>
          <w:lang w:val="fr-FR"/>
        </w:rPr>
        <w:t>L’offre technique doit inclure les points suivants</w:t>
      </w:r>
      <w:r w:rsidR="00BC7AC0" w:rsidRPr="00B71A50">
        <w:rPr>
          <w:rFonts w:ascii="Open Sans" w:hAnsi="Open Sans" w:cs="Open Sans"/>
          <w:lang w:val="fr-FR"/>
        </w:rPr>
        <w:t> :</w:t>
      </w:r>
      <w:r w:rsidRPr="00B71A50">
        <w:rPr>
          <w:rFonts w:ascii="Open Sans" w:hAnsi="Open Sans" w:cs="Open Sans"/>
          <w:lang w:val="fr-FR"/>
        </w:rPr>
        <w:t xml:space="preserve"> compréhension du mandat, objectifs/extrants poursuivis, méthodologie détaillée</w:t>
      </w:r>
      <w:r w:rsidR="000B6786" w:rsidRPr="00B71A50">
        <w:rPr>
          <w:rFonts w:ascii="Open Sans" w:hAnsi="Open Sans" w:cs="Open Sans"/>
          <w:lang w:val="fr-FR"/>
        </w:rPr>
        <w:t xml:space="preserve">, chronogramme </w:t>
      </w:r>
      <w:r w:rsidR="00873E4E" w:rsidRPr="00B71A50">
        <w:rPr>
          <w:rFonts w:ascii="Open Sans" w:hAnsi="Open Sans" w:cs="Open Sans"/>
          <w:lang w:val="fr-FR"/>
        </w:rPr>
        <w:t>d’activités</w:t>
      </w:r>
    </w:p>
    <w:p w14:paraId="0C0A985A" w14:textId="25541132" w:rsidR="00315BF4" w:rsidRPr="00B71A50" w:rsidRDefault="00315BF4" w:rsidP="00EC2433">
      <w:pPr>
        <w:numPr>
          <w:ilvl w:val="0"/>
          <w:numId w:val="6"/>
        </w:numPr>
        <w:tabs>
          <w:tab w:val="left" w:pos="450"/>
        </w:tabs>
        <w:spacing w:after="0" w:line="240" w:lineRule="auto"/>
        <w:ind w:left="360" w:hanging="270"/>
        <w:jc w:val="both"/>
        <w:rPr>
          <w:rFonts w:ascii="Open Sans" w:hAnsi="Open Sans" w:cs="Open Sans"/>
          <w:lang w:val="fr-FR"/>
        </w:rPr>
      </w:pPr>
      <w:r w:rsidRPr="00B71A50">
        <w:rPr>
          <w:rFonts w:ascii="Open Sans" w:hAnsi="Open Sans" w:cs="Open Sans"/>
          <w:lang w:val="fr-FR"/>
        </w:rPr>
        <w:t>L’offre financière (OF) détaillant le co</w:t>
      </w:r>
      <w:r w:rsidR="000B6786" w:rsidRPr="00B71A50">
        <w:rPr>
          <w:rFonts w:ascii="Open Sans" w:hAnsi="Open Sans" w:cs="Open Sans"/>
          <w:lang w:val="fr-FR"/>
        </w:rPr>
        <w:t>û</w:t>
      </w:r>
      <w:r w:rsidRPr="00B71A50">
        <w:rPr>
          <w:rFonts w:ascii="Open Sans" w:hAnsi="Open Sans" w:cs="Open Sans"/>
          <w:lang w:val="fr-FR"/>
        </w:rPr>
        <w:t xml:space="preserve">t total de la consultation. Elle inclura les honoraires et tous les autres frais connexes </w:t>
      </w:r>
    </w:p>
    <w:p w14:paraId="42CF178C" w14:textId="362D7747" w:rsidR="00085CC9" w:rsidRPr="00B71A50" w:rsidRDefault="00315BF4" w:rsidP="00EC2433">
      <w:pPr>
        <w:numPr>
          <w:ilvl w:val="0"/>
          <w:numId w:val="5"/>
        </w:numPr>
        <w:tabs>
          <w:tab w:val="left" w:pos="450"/>
        </w:tabs>
        <w:spacing w:after="0" w:line="240" w:lineRule="auto"/>
        <w:ind w:left="360" w:hanging="270"/>
        <w:jc w:val="both"/>
        <w:rPr>
          <w:rFonts w:ascii="Open Sans" w:hAnsi="Open Sans" w:cs="Open Sans"/>
          <w:lang w:val="fr-FR"/>
        </w:rPr>
      </w:pPr>
      <w:r w:rsidRPr="00B71A50">
        <w:rPr>
          <w:rFonts w:ascii="Open Sans" w:hAnsi="Open Sans" w:cs="Open Sans"/>
          <w:lang w:val="fr-FR"/>
        </w:rPr>
        <w:t xml:space="preserve">Un CV </w:t>
      </w:r>
      <w:r w:rsidR="00085CC9" w:rsidRPr="00B71A50">
        <w:rPr>
          <w:rFonts w:ascii="Open Sans" w:eastAsia="Times New Roman" w:hAnsi="Open Sans" w:cs="Open Sans"/>
          <w:lang w:val="fr-FR"/>
        </w:rPr>
        <w:t xml:space="preserve">détaillé démontrant la </w:t>
      </w:r>
      <w:r w:rsidR="00085CC9" w:rsidRPr="00B71A50">
        <w:rPr>
          <w:rFonts w:ascii="Open Sans" w:hAnsi="Open Sans" w:cs="Open Sans"/>
          <w:lang w:val="fr-FR"/>
        </w:rPr>
        <w:t>qualification et les compétences</w:t>
      </w:r>
      <w:r w:rsidR="00085CC9" w:rsidRPr="00B71A50">
        <w:rPr>
          <w:rFonts w:ascii="Open Sans" w:eastAsia="Times New Roman" w:hAnsi="Open Sans" w:cs="Open Sans"/>
          <w:lang w:val="fr-FR"/>
        </w:rPr>
        <w:t xml:space="preserve"> </w:t>
      </w:r>
      <w:r w:rsidR="00085CC9" w:rsidRPr="00B71A50">
        <w:rPr>
          <w:rFonts w:ascii="Open Sans" w:hAnsi="Open Sans" w:cs="Open Sans"/>
          <w:lang w:val="fr-FR"/>
        </w:rPr>
        <w:t>en rapport avec les exigences d</w:t>
      </w:r>
      <w:r w:rsidR="00224D0C">
        <w:rPr>
          <w:rFonts w:ascii="Open Sans" w:hAnsi="Open Sans" w:cs="Open Sans"/>
          <w:lang w:val="fr-FR"/>
        </w:rPr>
        <w:t>es</w:t>
      </w:r>
      <w:r w:rsidR="00085CC9" w:rsidRPr="00B71A50">
        <w:rPr>
          <w:rFonts w:ascii="Open Sans" w:hAnsi="Open Sans" w:cs="Open Sans"/>
          <w:lang w:val="fr-FR"/>
        </w:rPr>
        <w:t xml:space="preserve"> TDR et le profil recherché</w:t>
      </w:r>
      <w:r w:rsidR="00085CC9" w:rsidRPr="00B71A50">
        <w:rPr>
          <w:rFonts w:ascii="Open Sans" w:eastAsia="Times New Roman" w:hAnsi="Open Sans" w:cs="Open Sans"/>
          <w:lang w:val="fr-FR"/>
        </w:rPr>
        <w:t xml:space="preserve"> d</w:t>
      </w:r>
      <w:r w:rsidR="00114770" w:rsidRPr="00B71A50">
        <w:rPr>
          <w:rFonts w:ascii="Open Sans" w:eastAsia="Times New Roman" w:hAnsi="Open Sans" w:cs="Open Sans"/>
          <w:lang w:val="fr-FR"/>
        </w:rPr>
        <w:t>u consultant en chef et de</w:t>
      </w:r>
      <w:r w:rsidR="00085CC9" w:rsidRPr="00B71A50">
        <w:rPr>
          <w:rFonts w:ascii="Open Sans" w:eastAsia="Times New Roman" w:hAnsi="Open Sans" w:cs="Open Sans"/>
          <w:lang w:val="fr-FR"/>
        </w:rPr>
        <w:t xml:space="preserve"> ses adjoints ou de la firme et ses personnels clés</w:t>
      </w:r>
    </w:p>
    <w:p w14:paraId="0D835F7C" w14:textId="1AA29E47" w:rsidR="00315BF4" w:rsidRPr="00B71A50" w:rsidRDefault="00BF2444" w:rsidP="00EC2433">
      <w:pPr>
        <w:numPr>
          <w:ilvl w:val="0"/>
          <w:numId w:val="5"/>
        </w:numPr>
        <w:tabs>
          <w:tab w:val="left" w:pos="450"/>
        </w:tabs>
        <w:spacing w:after="0" w:line="240" w:lineRule="auto"/>
        <w:ind w:left="360" w:hanging="270"/>
        <w:jc w:val="both"/>
        <w:rPr>
          <w:rFonts w:ascii="Open Sans" w:hAnsi="Open Sans" w:cs="Open Sans"/>
          <w:lang w:val="fr-FR"/>
        </w:rPr>
      </w:pPr>
      <w:r w:rsidRPr="00B71A50">
        <w:rPr>
          <w:rFonts w:ascii="Open Sans" w:hAnsi="Open Sans" w:cs="Open Sans"/>
          <w:lang w:val="fr-FR"/>
        </w:rPr>
        <w:lastRenderedPageBreak/>
        <w:t>U</w:t>
      </w:r>
      <w:r w:rsidR="00315BF4" w:rsidRPr="00B71A50">
        <w:rPr>
          <w:rFonts w:ascii="Open Sans" w:hAnsi="Open Sans" w:cs="Open Sans"/>
          <w:lang w:val="fr-FR"/>
        </w:rPr>
        <w:t>ne copie scannée des diplômes et certificats obtenus du consultant ou des consultants de la firme.</w:t>
      </w:r>
    </w:p>
    <w:p w14:paraId="61594D8B" w14:textId="61D50FA1" w:rsidR="001B54FD" w:rsidRPr="00B71A50" w:rsidRDefault="001B54FD" w:rsidP="00EC2433">
      <w:pPr>
        <w:pStyle w:val="Header"/>
        <w:numPr>
          <w:ilvl w:val="0"/>
          <w:numId w:val="5"/>
        </w:numPr>
        <w:tabs>
          <w:tab w:val="clear" w:pos="4680"/>
          <w:tab w:val="clear" w:pos="9360"/>
          <w:tab w:val="left" w:pos="450"/>
        </w:tabs>
        <w:ind w:left="360" w:hanging="270"/>
        <w:jc w:val="both"/>
        <w:rPr>
          <w:rFonts w:ascii="Open Sans" w:hAnsi="Open Sans" w:cs="Open Sans"/>
          <w:lang w:val="fr-FR"/>
        </w:rPr>
      </w:pPr>
      <w:r w:rsidRPr="00B71A50">
        <w:rPr>
          <w:rFonts w:ascii="Open Sans" w:eastAsia="Times New Roman" w:hAnsi="Open Sans" w:cs="Open Sans"/>
          <w:lang w:val="fr-CA"/>
        </w:rPr>
        <w:t>Preuve</w:t>
      </w:r>
      <w:r w:rsidR="00C62B6F" w:rsidRPr="00B71A50">
        <w:rPr>
          <w:rFonts w:ascii="Open Sans" w:eastAsia="Times New Roman" w:hAnsi="Open Sans" w:cs="Open Sans"/>
          <w:lang w:val="fr-CA"/>
        </w:rPr>
        <w:t xml:space="preserve"> ou attestation </w:t>
      </w:r>
      <w:r w:rsidR="00ED3E8C" w:rsidRPr="00B71A50">
        <w:rPr>
          <w:rFonts w:ascii="Open Sans" w:eastAsia="Times New Roman" w:hAnsi="Open Sans" w:cs="Open Sans"/>
          <w:lang w:val="fr-CA"/>
        </w:rPr>
        <w:t>démontrant</w:t>
      </w:r>
      <w:r w:rsidRPr="00B71A50">
        <w:rPr>
          <w:rFonts w:ascii="Open Sans" w:eastAsia="Times New Roman" w:hAnsi="Open Sans" w:cs="Open Sans"/>
          <w:lang w:val="fr-CA"/>
        </w:rPr>
        <w:t xml:space="preserve"> que le consultant ou la firme a déjà effectué des travaux similaires</w:t>
      </w:r>
      <w:r w:rsidR="00AF5095" w:rsidRPr="00B71A50">
        <w:rPr>
          <w:rFonts w:ascii="Open Sans" w:eastAsia="Times New Roman" w:hAnsi="Open Sans" w:cs="Open Sans"/>
          <w:lang w:val="fr-CA"/>
        </w:rPr>
        <w:t>;</w:t>
      </w:r>
    </w:p>
    <w:p w14:paraId="444786EF" w14:textId="555E14DE" w:rsidR="00AF5095" w:rsidRPr="00B71A50" w:rsidRDefault="00AF5095" w:rsidP="00EC2433">
      <w:pPr>
        <w:pStyle w:val="Header"/>
        <w:numPr>
          <w:ilvl w:val="0"/>
          <w:numId w:val="5"/>
        </w:numPr>
        <w:tabs>
          <w:tab w:val="clear" w:pos="4680"/>
          <w:tab w:val="clear" w:pos="9360"/>
          <w:tab w:val="left" w:pos="450"/>
        </w:tabs>
        <w:ind w:left="360" w:hanging="270"/>
        <w:jc w:val="both"/>
        <w:rPr>
          <w:rFonts w:ascii="Open Sans" w:hAnsi="Open Sans" w:cs="Open Sans"/>
          <w:lang w:val="fr-FR"/>
        </w:rPr>
      </w:pPr>
      <w:r w:rsidRPr="00B71A50">
        <w:rPr>
          <w:rFonts w:ascii="Open Sans" w:hAnsi="Open Sans" w:cs="Open Sans"/>
          <w:lang w:val="fr-FR"/>
        </w:rPr>
        <w:t xml:space="preserve">Une Pièce d’Identification National et la Matricule Fiscal pour les consultants engagés. Les documents administratifs (Patente pour l’exercice en cours, matricule fiscale, </w:t>
      </w:r>
      <w:r w:rsidR="006472D4" w:rsidRPr="00B71A50">
        <w:rPr>
          <w:rFonts w:ascii="Open Sans" w:hAnsi="Open Sans" w:cs="Open Sans"/>
          <w:lang w:val="fr-FR"/>
        </w:rPr>
        <w:t xml:space="preserve">quitus fiscal, </w:t>
      </w:r>
      <w:r w:rsidRPr="00B71A50">
        <w:rPr>
          <w:rFonts w:ascii="Open Sans" w:hAnsi="Open Sans" w:cs="Open Sans"/>
          <w:lang w:val="fr-FR"/>
        </w:rPr>
        <w:t xml:space="preserve">etc…) et l’identification du Consultant en Chef avec les documents requis pour les consultants engagés pour les firmes de consultation </w:t>
      </w:r>
    </w:p>
    <w:p w14:paraId="03F2C0A9" w14:textId="18F38E93" w:rsidR="00315BF4" w:rsidRPr="00B71A50" w:rsidRDefault="00315BF4" w:rsidP="00B71A50">
      <w:pPr>
        <w:spacing w:after="0" w:line="240" w:lineRule="auto"/>
        <w:jc w:val="both"/>
        <w:rPr>
          <w:rFonts w:ascii="Open Sans" w:hAnsi="Open Sans" w:cs="Open Sans"/>
          <w:lang w:val="fr-FR"/>
        </w:rPr>
      </w:pPr>
      <w:r w:rsidRPr="00B71A50">
        <w:rPr>
          <w:rFonts w:ascii="Open Sans" w:hAnsi="Open Sans" w:cs="Open Sans"/>
          <w:lang w:val="fr-FR"/>
        </w:rPr>
        <w:t>L’offre technique</w:t>
      </w:r>
      <w:r w:rsidR="005F6F25">
        <w:rPr>
          <w:rFonts w:ascii="Open Sans" w:hAnsi="Open Sans" w:cs="Open Sans"/>
          <w:lang w:val="fr-FR"/>
        </w:rPr>
        <w:t xml:space="preserve">, </w:t>
      </w:r>
      <w:r w:rsidRPr="00B71A50">
        <w:rPr>
          <w:rFonts w:ascii="Open Sans" w:hAnsi="Open Sans" w:cs="Open Sans"/>
          <w:lang w:val="fr-FR"/>
        </w:rPr>
        <w:t>l’offre financière</w:t>
      </w:r>
      <w:r w:rsidR="005F6F25">
        <w:rPr>
          <w:rFonts w:ascii="Open Sans" w:hAnsi="Open Sans" w:cs="Open Sans"/>
          <w:lang w:val="fr-FR"/>
        </w:rPr>
        <w:t xml:space="preserve"> et le CV joint de diplômes</w:t>
      </w:r>
      <w:r w:rsidR="008C7A46">
        <w:rPr>
          <w:rFonts w:ascii="Open Sans" w:hAnsi="Open Sans" w:cs="Open Sans"/>
          <w:lang w:val="fr-FR"/>
        </w:rPr>
        <w:t xml:space="preserve">, </w:t>
      </w:r>
      <w:r w:rsidR="005F6F25">
        <w:rPr>
          <w:rFonts w:ascii="Open Sans" w:hAnsi="Open Sans" w:cs="Open Sans"/>
          <w:lang w:val="fr-FR"/>
        </w:rPr>
        <w:t>attestations</w:t>
      </w:r>
      <w:r w:rsidR="008C7A46">
        <w:rPr>
          <w:rFonts w:ascii="Open Sans" w:hAnsi="Open Sans" w:cs="Open Sans"/>
          <w:lang w:val="fr-FR"/>
        </w:rPr>
        <w:t xml:space="preserve"> et autres </w:t>
      </w:r>
      <w:r w:rsidRPr="00B71A50">
        <w:rPr>
          <w:rFonts w:ascii="Open Sans" w:hAnsi="Open Sans" w:cs="Open Sans"/>
          <w:lang w:val="fr-FR"/>
        </w:rPr>
        <w:t>doivent être soumis dans des plis séparés</w:t>
      </w:r>
      <w:r w:rsidR="00A33C65">
        <w:rPr>
          <w:rFonts w:ascii="Open Sans" w:hAnsi="Open Sans" w:cs="Open Sans"/>
          <w:lang w:val="fr-FR"/>
        </w:rPr>
        <w:t xml:space="preserve"> </w:t>
      </w:r>
      <w:r w:rsidR="00F71DCE">
        <w:rPr>
          <w:rFonts w:ascii="Open Sans" w:hAnsi="Open Sans" w:cs="Open Sans"/>
          <w:lang w:val="fr-FR"/>
        </w:rPr>
        <w:t>et indiqués du contenu</w:t>
      </w:r>
    </w:p>
    <w:p w14:paraId="12D5D81B" w14:textId="77777777" w:rsidR="00315BF4" w:rsidRPr="00B71A50" w:rsidRDefault="00315BF4" w:rsidP="00B71A50">
      <w:pPr>
        <w:spacing w:after="0" w:line="240" w:lineRule="auto"/>
        <w:jc w:val="both"/>
        <w:rPr>
          <w:rFonts w:ascii="Open Sans" w:hAnsi="Open Sans" w:cs="Open Sans"/>
          <w:lang w:val="fr-FR"/>
        </w:rPr>
      </w:pPr>
    </w:p>
    <w:p w14:paraId="30D04CF1" w14:textId="77777777" w:rsidR="00315BF4" w:rsidRPr="00B71A50" w:rsidRDefault="00315BF4" w:rsidP="00B71A50">
      <w:pPr>
        <w:spacing w:after="0" w:line="240" w:lineRule="auto"/>
        <w:contextualSpacing/>
        <w:jc w:val="both"/>
        <w:rPr>
          <w:rFonts w:ascii="Open Sans" w:hAnsi="Open Sans" w:cs="Open Sans"/>
          <w:b/>
          <w:bCs/>
          <w:lang w:val="fr-CA"/>
        </w:rPr>
      </w:pPr>
      <w:r w:rsidRPr="00B71A50">
        <w:rPr>
          <w:rFonts w:ascii="Open Sans" w:hAnsi="Open Sans" w:cs="Open Sans"/>
          <w:b/>
          <w:bCs/>
          <w:lang w:val="fr-CA"/>
        </w:rPr>
        <w:t>8.- Critères d’attribution de ce marché</w:t>
      </w:r>
    </w:p>
    <w:p w14:paraId="422477D1" w14:textId="77777777" w:rsidR="00315BF4" w:rsidRPr="00B71A50" w:rsidRDefault="00315BF4" w:rsidP="00B71A50">
      <w:pPr>
        <w:autoSpaceDE w:val="0"/>
        <w:autoSpaceDN w:val="0"/>
        <w:adjustRightInd w:val="0"/>
        <w:spacing w:after="0" w:line="240" w:lineRule="auto"/>
        <w:jc w:val="both"/>
        <w:rPr>
          <w:rFonts w:ascii="Open Sans" w:hAnsi="Open Sans" w:cs="Open Sans"/>
          <w:lang w:val="fr-CA"/>
        </w:rPr>
      </w:pPr>
      <w:r w:rsidRPr="00B71A50">
        <w:rPr>
          <w:rFonts w:ascii="Open Sans" w:hAnsi="Open Sans" w:cs="Open Sans"/>
          <w:lang w:val="fr-CA"/>
        </w:rPr>
        <w:t>Une évaluation préliminaire des offres aura lieu avant qu’une comparaison technique et financière ne soit considérée. Seules les offres techniques et financières des professionnels, dont l’examen préliminaire satisfait aux exigences de l’UCMIT/PNLS seront considérées.</w:t>
      </w:r>
    </w:p>
    <w:p w14:paraId="0C156498" w14:textId="77777777" w:rsidR="00315BF4" w:rsidRPr="00B71A50" w:rsidRDefault="00315BF4" w:rsidP="00B71A50">
      <w:pPr>
        <w:autoSpaceDE w:val="0"/>
        <w:autoSpaceDN w:val="0"/>
        <w:adjustRightInd w:val="0"/>
        <w:spacing w:after="0" w:line="240" w:lineRule="auto"/>
        <w:jc w:val="both"/>
        <w:rPr>
          <w:rFonts w:ascii="Open Sans" w:hAnsi="Open Sans" w:cs="Open Sans"/>
          <w:lang w:val="fr-CA"/>
        </w:rPr>
      </w:pPr>
    </w:p>
    <w:p w14:paraId="2BC0E2A1" w14:textId="77777777" w:rsidR="00315BF4" w:rsidRPr="00B71A50" w:rsidRDefault="00315BF4" w:rsidP="00B71A50">
      <w:pPr>
        <w:spacing w:after="0" w:line="240" w:lineRule="auto"/>
        <w:contextualSpacing/>
        <w:jc w:val="both"/>
        <w:rPr>
          <w:rFonts w:ascii="Open Sans" w:hAnsi="Open Sans" w:cs="Open Sans"/>
          <w:b/>
          <w:bCs/>
          <w:lang w:val="fr-CA"/>
        </w:rPr>
      </w:pPr>
      <w:r w:rsidRPr="00B71A50">
        <w:rPr>
          <w:rFonts w:ascii="Open Sans" w:hAnsi="Open Sans" w:cs="Open Sans"/>
          <w:b/>
          <w:bCs/>
          <w:lang w:val="fr-CA"/>
        </w:rPr>
        <w:t>9.- Conditions de travail</w:t>
      </w:r>
    </w:p>
    <w:p w14:paraId="4EC8478C" w14:textId="0CDB1778" w:rsidR="00315BF4" w:rsidRPr="00B71A50" w:rsidRDefault="00315BF4" w:rsidP="00B71A50">
      <w:pPr>
        <w:spacing w:after="0" w:line="240" w:lineRule="auto"/>
        <w:contextualSpacing/>
        <w:jc w:val="both"/>
        <w:rPr>
          <w:rFonts w:ascii="Open Sans" w:hAnsi="Open Sans" w:cs="Open Sans"/>
          <w:lang w:val="fr-CA"/>
        </w:rPr>
      </w:pPr>
      <w:r w:rsidRPr="00B71A50">
        <w:rPr>
          <w:rFonts w:ascii="Open Sans" w:hAnsi="Open Sans" w:cs="Open Sans"/>
          <w:lang w:val="fr-CA"/>
        </w:rPr>
        <w:t>Le consultant ou la firme devra fournir son équipement de travail, y compris ordinateur et téléphone, toutefois un espace de travail peut être mis à sa disposition au besoin. Une proposition d’agenda sera discutée avec le consultant ou la firme retenue. Le consultant sera supervisé par la Coordination Technique du PNLS à travers le chef du Service de Prévention de l’UCMIT/PNLS. Toutefois, il aura à travailler en étroite collaboration avec les autres responsables des services techniques tels que, Prise en charge, Suivi-évaluation et SASICC et les parties prenantes identifiées par l’UCMIT/PNLS.</w:t>
      </w:r>
    </w:p>
    <w:p w14:paraId="746DAB02" w14:textId="77777777" w:rsidR="00315BF4" w:rsidRPr="00B71A50" w:rsidRDefault="00315BF4" w:rsidP="00B71A50">
      <w:pPr>
        <w:spacing w:after="0" w:line="240" w:lineRule="auto"/>
        <w:contextualSpacing/>
        <w:jc w:val="both"/>
        <w:rPr>
          <w:rFonts w:ascii="Open Sans" w:hAnsi="Open Sans" w:cs="Open Sans"/>
          <w:b/>
          <w:bCs/>
          <w:lang w:val="fr-CA"/>
        </w:rPr>
      </w:pPr>
    </w:p>
    <w:p w14:paraId="2E46742C" w14:textId="77777777" w:rsidR="00315BF4" w:rsidRPr="00B71A50" w:rsidRDefault="00315BF4" w:rsidP="00B71A50">
      <w:pPr>
        <w:spacing w:after="0" w:line="240" w:lineRule="auto"/>
        <w:contextualSpacing/>
        <w:jc w:val="both"/>
        <w:rPr>
          <w:rFonts w:ascii="Open Sans" w:hAnsi="Open Sans" w:cs="Open Sans"/>
          <w:b/>
          <w:bCs/>
          <w:lang w:val="fr-CA"/>
        </w:rPr>
      </w:pPr>
      <w:r w:rsidRPr="00B71A50">
        <w:rPr>
          <w:rFonts w:ascii="Open Sans" w:hAnsi="Open Sans" w:cs="Open Sans"/>
          <w:b/>
          <w:bCs/>
          <w:lang w:val="fr-CA"/>
        </w:rPr>
        <w:t>10.- Dépôt des dossiers</w:t>
      </w:r>
    </w:p>
    <w:p w14:paraId="5FE38CFB" w14:textId="4C68D21A" w:rsidR="00315BF4" w:rsidRPr="00B71A50" w:rsidRDefault="00315BF4" w:rsidP="00B71A50">
      <w:pPr>
        <w:spacing w:after="0" w:line="240" w:lineRule="auto"/>
        <w:rPr>
          <w:rFonts w:ascii="Open Sans" w:hAnsi="Open Sans" w:cs="Open Sans"/>
          <w:lang w:val="fr-CA"/>
        </w:rPr>
      </w:pPr>
      <w:r w:rsidRPr="00B71A50">
        <w:rPr>
          <w:rFonts w:ascii="Open Sans" w:hAnsi="Open Sans" w:cs="Open Sans"/>
          <w:bCs/>
          <w:lang w:val="fr-CA"/>
        </w:rPr>
        <w:t xml:space="preserve">Les dossiers de candidature doivent être déposés </w:t>
      </w:r>
      <w:r w:rsidR="00C2096E" w:rsidRPr="00B71A50">
        <w:rPr>
          <w:rFonts w:ascii="Open Sans" w:hAnsi="Open Sans" w:cs="Open Sans"/>
          <w:bCs/>
          <w:lang w:val="fr-CA"/>
        </w:rPr>
        <w:t>en trois</w:t>
      </w:r>
      <w:r w:rsidR="008D4AA4" w:rsidRPr="00B71A50">
        <w:rPr>
          <w:rFonts w:ascii="Open Sans" w:hAnsi="Open Sans" w:cs="Open Sans"/>
          <w:bCs/>
          <w:lang w:val="fr-CA"/>
        </w:rPr>
        <w:t xml:space="preserve"> (3) exemplaires et </w:t>
      </w:r>
      <w:r w:rsidRPr="00B71A50">
        <w:rPr>
          <w:rFonts w:ascii="Open Sans" w:hAnsi="Open Sans" w:cs="Open Sans"/>
          <w:bCs/>
          <w:lang w:val="fr-CA"/>
        </w:rPr>
        <w:t xml:space="preserve">sous plis cacheté </w:t>
      </w:r>
      <w:r w:rsidR="00481698" w:rsidRPr="00B71A50">
        <w:rPr>
          <w:rFonts w:ascii="Open Sans" w:hAnsi="Open Sans" w:cs="Open Sans"/>
          <w:bCs/>
          <w:lang w:val="fr-FR"/>
        </w:rPr>
        <w:t xml:space="preserve">au local de l’UCMIT sis au </w:t>
      </w:r>
      <w:r w:rsidR="00481698" w:rsidRPr="00B71A50">
        <w:rPr>
          <w:rFonts w:ascii="Open Sans" w:hAnsi="Open Sans" w:cs="Open Sans"/>
          <w:b/>
          <w:bCs/>
          <w:lang w:val="fr-FR"/>
        </w:rPr>
        <w:t xml:space="preserve"># 17, Rue </w:t>
      </w:r>
      <w:proofErr w:type="spellStart"/>
      <w:r w:rsidR="00481698" w:rsidRPr="00B71A50">
        <w:rPr>
          <w:rFonts w:ascii="Open Sans" w:hAnsi="Open Sans" w:cs="Open Sans"/>
          <w:b/>
          <w:bCs/>
          <w:lang w:val="fr-FR"/>
        </w:rPr>
        <w:t>Darguin</w:t>
      </w:r>
      <w:proofErr w:type="spellEnd"/>
      <w:r w:rsidR="00481698" w:rsidRPr="00B71A50">
        <w:rPr>
          <w:rFonts w:ascii="Open Sans" w:hAnsi="Open Sans" w:cs="Open Sans"/>
          <w:b/>
          <w:bCs/>
          <w:lang w:val="fr-FR"/>
        </w:rPr>
        <w:t>, Pétion-Ville</w:t>
      </w:r>
      <w:r w:rsidR="00481698" w:rsidRPr="00B71A50">
        <w:rPr>
          <w:rFonts w:ascii="Open Sans" w:hAnsi="Open Sans" w:cs="Open Sans"/>
          <w:bCs/>
          <w:lang w:val="fr-FR"/>
        </w:rPr>
        <w:t>.</w:t>
      </w:r>
      <w:r w:rsidR="00450CD8" w:rsidRPr="00B71A50">
        <w:rPr>
          <w:rFonts w:ascii="Open Sans" w:hAnsi="Open Sans" w:cs="Open Sans"/>
          <w:bCs/>
          <w:lang w:val="fr-FR"/>
        </w:rPr>
        <w:t xml:space="preserve"> </w:t>
      </w:r>
      <w:r w:rsidR="005568B7" w:rsidRPr="00B71A50">
        <w:rPr>
          <w:rFonts w:ascii="Open Sans" w:hAnsi="Open Sans" w:cs="Open Sans"/>
          <w:bCs/>
          <w:lang w:val="fr-FR"/>
        </w:rPr>
        <w:t xml:space="preserve">La Présentation </w:t>
      </w:r>
      <w:r w:rsidR="006311FC" w:rsidRPr="00B71A50">
        <w:rPr>
          <w:rFonts w:ascii="Open Sans" w:hAnsi="Open Sans" w:cs="Open Sans"/>
          <w:bCs/>
          <w:lang w:val="fr-FR"/>
        </w:rPr>
        <w:t xml:space="preserve">se fera </w:t>
      </w:r>
      <w:r w:rsidRPr="00B71A50">
        <w:rPr>
          <w:rFonts w:ascii="Open Sans" w:hAnsi="Open Sans" w:cs="Open Sans"/>
          <w:bCs/>
          <w:lang w:val="fr-CA"/>
        </w:rPr>
        <w:t>de façon</w:t>
      </w:r>
      <w:r w:rsidR="00BD09DE" w:rsidRPr="00B71A50">
        <w:rPr>
          <w:rFonts w:ascii="Open Sans" w:hAnsi="Open Sans" w:cs="Open Sans"/>
          <w:bCs/>
          <w:lang w:val="fr-CA"/>
        </w:rPr>
        <w:t xml:space="preserve"> suivante</w:t>
      </w:r>
      <w:r w:rsidR="00DD6F3C" w:rsidRPr="00B71A50">
        <w:rPr>
          <w:rFonts w:ascii="Open Sans" w:hAnsi="Open Sans" w:cs="Open Sans"/>
          <w:bCs/>
          <w:lang w:val="fr-CA"/>
        </w:rPr>
        <w:t> : O</w:t>
      </w:r>
      <w:r w:rsidRPr="00B71A50">
        <w:rPr>
          <w:rFonts w:ascii="Open Sans" w:hAnsi="Open Sans" w:cs="Open Sans"/>
          <w:bCs/>
          <w:lang w:val="fr-CA"/>
        </w:rPr>
        <w:t xml:space="preserve">ffre </w:t>
      </w:r>
      <w:r w:rsidR="00DD6F3C" w:rsidRPr="00B71A50">
        <w:rPr>
          <w:rFonts w:ascii="Open Sans" w:hAnsi="Open Sans" w:cs="Open Sans"/>
          <w:bCs/>
          <w:lang w:val="fr-CA"/>
        </w:rPr>
        <w:t>T</w:t>
      </w:r>
      <w:r w:rsidRPr="00B71A50">
        <w:rPr>
          <w:rFonts w:ascii="Open Sans" w:hAnsi="Open Sans" w:cs="Open Sans"/>
          <w:bCs/>
          <w:lang w:val="fr-CA"/>
        </w:rPr>
        <w:t xml:space="preserve">echnique dans une enveloppe, </w:t>
      </w:r>
      <w:r w:rsidR="00DD6F3C" w:rsidRPr="00B71A50">
        <w:rPr>
          <w:rFonts w:ascii="Open Sans" w:hAnsi="Open Sans" w:cs="Open Sans"/>
          <w:bCs/>
          <w:lang w:val="fr-CA"/>
        </w:rPr>
        <w:t>O</w:t>
      </w:r>
      <w:r w:rsidRPr="00B71A50">
        <w:rPr>
          <w:rFonts w:ascii="Open Sans" w:hAnsi="Open Sans" w:cs="Open Sans"/>
          <w:bCs/>
          <w:lang w:val="fr-CA"/>
        </w:rPr>
        <w:t xml:space="preserve">ffre </w:t>
      </w:r>
      <w:r w:rsidR="00DD6F3C" w:rsidRPr="00B71A50">
        <w:rPr>
          <w:rFonts w:ascii="Open Sans" w:hAnsi="Open Sans" w:cs="Open Sans"/>
          <w:bCs/>
          <w:lang w:val="fr-CA"/>
        </w:rPr>
        <w:t>F</w:t>
      </w:r>
      <w:r w:rsidRPr="00B71A50">
        <w:rPr>
          <w:rFonts w:ascii="Open Sans" w:hAnsi="Open Sans" w:cs="Open Sans"/>
          <w:bCs/>
          <w:lang w:val="fr-CA"/>
        </w:rPr>
        <w:t xml:space="preserve">inancière dans </w:t>
      </w:r>
      <w:r w:rsidR="00C2096E" w:rsidRPr="00B71A50">
        <w:rPr>
          <w:rFonts w:ascii="Open Sans" w:hAnsi="Open Sans" w:cs="Open Sans"/>
          <w:bCs/>
          <w:lang w:val="fr-CA"/>
        </w:rPr>
        <w:t xml:space="preserve">une </w:t>
      </w:r>
      <w:r w:rsidR="00BD09DE" w:rsidRPr="00B71A50">
        <w:rPr>
          <w:rFonts w:ascii="Open Sans" w:hAnsi="Open Sans" w:cs="Open Sans"/>
          <w:bCs/>
          <w:lang w:val="fr-CA"/>
        </w:rPr>
        <w:t xml:space="preserve">deuxième </w:t>
      </w:r>
      <w:r w:rsidRPr="00B71A50">
        <w:rPr>
          <w:rFonts w:ascii="Open Sans" w:hAnsi="Open Sans" w:cs="Open Sans"/>
          <w:bCs/>
          <w:lang w:val="fr-CA"/>
        </w:rPr>
        <w:t>enveloppe et CV/</w:t>
      </w:r>
      <w:r w:rsidR="00DD6F3C" w:rsidRPr="00B71A50">
        <w:rPr>
          <w:rFonts w:ascii="Open Sans" w:hAnsi="Open Sans" w:cs="Open Sans"/>
          <w:bCs/>
          <w:lang w:val="fr-CA"/>
        </w:rPr>
        <w:t>D</w:t>
      </w:r>
      <w:r w:rsidRPr="00B71A50">
        <w:rPr>
          <w:rFonts w:ascii="Open Sans" w:hAnsi="Open Sans" w:cs="Open Sans"/>
          <w:bCs/>
          <w:lang w:val="fr-CA"/>
        </w:rPr>
        <w:t>iplômes</w:t>
      </w:r>
      <w:r w:rsidR="008D4AA4" w:rsidRPr="00B71A50">
        <w:rPr>
          <w:rFonts w:ascii="Open Sans" w:hAnsi="Open Sans" w:cs="Open Sans"/>
          <w:bCs/>
          <w:lang w:val="fr-CA"/>
        </w:rPr>
        <w:t xml:space="preserve">, </w:t>
      </w:r>
      <w:r w:rsidR="00DD6F3C" w:rsidRPr="00B71A50">
        <w:rPr>
          <w:rFonts w:ascii="Open Sans" w:hAnsi="Open Sans" w:cs="Open Sans"/>
          <w:bCs/>
          <w:lang w:val="fr-CA"/>
        </w:rPr>
        <w:t>C</w:t>
      </w:r>
      <w:r w:rsidR="008D4AA4" w:rsidRPr="00B71A50">
        <w:rPr>
          <w:rFonts w:ascii="Open Sans" w:hAnsi="Open Sans" w:cs="Open Sans"/>
          <w:bCs/>
          <w:lang w:val="fr-CA"/>
        </w:rPr>
        <w:t>ertificats</w:t>
      </w:r>
      <w:r w:rsidR="00DD6F3C" w:rsidRPr="00B71A50">
        <w:rPr>
          <w:rFonts w:ascii="Open Sans" w:hAnsi="Open Sans" w:cs="Open Sans"/>
          <w:bCs/>
          <w:lang w:val="fr-CA"/>
        </w:rPr>
        <w:t>, A</w:t>
      </w:r>
      <w:r w:rsidR="008119CF" w:rsidRPr="00B71A50">
        <w:rPr>
          <w:rFonts w:ascii="Open Sans" w:hAnsi="Open Sans" w:cs="Open Sans"/>
          <w:bCs/>
          <w:lang w:val="fr-CA"/>
        </w:rPr>
        <w:t xml:space="preserve">ttestions et autres preuves démontrant la compétence et </w:t>
      </w:r>
      <w:r w:rsidR="002336EA" w:rsidRPr="00B71A50">
        <w:rPr>
          <w:rFonts w:ascii="Open Sans" w:hAnsi="Open Sans" w:cs="Open Sans"/>
          <w:bCs/>
          <w:lang w:val="fr-CA"/>
        </w:rPr>
        <w:t>la qualification</w:t>
      </w:r>
      <w:r w:rsidR="008119CF" w:rsidRPr="00B71A50">
        <w:rPr>
          <w:rFonts w:ascii="Open Sans" w:hAnsi="Open Sans" w:cs="Open Sans"/>
          <w:bCs/>
          <w:lang w:val="fr-CA"/>
        </w:rPr>
        <w:t xml:space="preserve"> du consultant </w:t>
      </w:r>
      <w:r w:rsidRPr="00B71A50">
        <w:rPr>
          <w:rFonts w:ascii="Open Sans" w:hAnsi="Open Sans" w:cs="Open Sans"/>
          <w:bCs/>
          <w:lang w:val="fr-CA"/>
        </w:rPr>
        <w:t xml:space="preserve">dans une troisième </w:t>
      </w:r>
      <w:r w:rsidR="00DD2209" w:rsidRPr="00B71A50">
        <w:rPr>
          <w:rFonts w:ascii="Open Sans" w:hAnsi="Open Sans" w:cs="Open Sans"/>
          <w:bCs/>
          <w:lang w:val="fr-CA"/>
        </w:rPr>
        <w:t xml:space="preserve">enveloppe </w:t>
      </w:r>
      <w:r w:rsidRPr="00B71A50">
        <w:rPr>
          <w:rFonts w:ascii="Open Sans" w:hAnsi="Open Sans" w:cs="Open Sans"/>
          <w:bCs/>
          <w:lang w:val="fr-CA"/>
        </w:rPr>
        <w:t>et le tout dans une grande enveloppe, avec le nom du postulant et la mention « </w:t>
      </w:r>
      <w:r w:rsidR="006F2DAB" w:rsidRPr="00B71A50">
        <w:rPr>
          <w:rFonts w:ascii="Open Sans" w:hAnsi="Open Sans" w:cs="Open Sans"/>
          <w:b/>
          <w:bCs/>
          <w:lang w:val="fr-FR"/>
        </w:rPr>
        <w:t>PNLS/FM/23-mai/108-012</w:t>
      </w:r>
      <w:r w:rsidR="00543A0A" w:rsidRPr="00B71A50">
        <w:rPr>
          <w:rFonts w:ascii="Open Sans" w:hAnsi="Open Sans" w:cs="Open Sans"/>
          <w:b/>
          <w:bCs/>
          <w:lang w:val="fr-FR"/>
        </w:rPr>
        <w:t> : Mise en Réseau Institution Sanitaire</w:t>
      </w:r>
      <w:r w:rsidR="000C0F43" w:rsidRPr="00B71A50">
        <w:rPr>
          <w:rFonts w:ascii="Open Sans" w:hAnsi="Open Sans" w:cs="Open Sans"/>
          <w:b/>
          <w:bCs/>
          <w:lang w:val="fr-FR"/>
        </w:rPr>
        <w:t> </w:t>
      </w:r>
      <w:r w:rsidR="005E4C56" w:rsidRPr="00B71A50">
        <w:rPr>
          <w:rFonts w:ascii="Open Sans" w:hAnsi="Open Sans" w:cs="Open Sans"/>
          <w:b/>
          <w:bCs/>
          <w:lang w:val="fr-FR"/>
        </w:rPr>
        <w:t>»</w:t>
      </w:r>
      <w:r w:rsidR="005E4C56">
        <w:rPr>
          <w:rFonts w:ascii="Open Sans" w:hAnsi="Open Sans" w:cs="Open Sans"/>
          <w:b/>
          <w:bCs/>
          <w:lang w:val="fr-FR"/>
        </w:rPr>
        <w:t>.</w:t>
      </w:r>
      <w:r w:rsidR="005E4C56" w:rsidRPr="00B71A50">
        <w:rPr>
          <w:rFonts w:ascii="Open Sans" w:hAnsi="Open Sans" w:cs="Open Sans"/>
          <w:b/>
          <w:bCs/>
          <w:lang w:val="fr-FR"/>
        </w:rPr>
        <w:t xml:space="preserve"> Les</w:t>
      </w:r>
      <w:r w:rsidR="00B217C9" w:rsidRPr="00B71A50">
        <w:rPr>
          <w:rFonts w:ascii="Open Sans" w:hAnsi="Open Sans" w:cs="Open Sans"/>
          <w:bCs/>
          <w:lang w:val="fr-FR"/>
        </w:rPr>
        <w:t xml:space="preserve"> dossiers seront reçus au plus tard le ………………………………</w:t>
      </w:r>
      <w:r w:rsidRPr="00B71A50">
        <w:rPr>
          <w:rFonts w:ascii="Open Sans" w:hAnsi="Open Sans" w:cs="Open Sans"/>
          <w:bCs/>
          <w:lang w:val="fr-CA"/>
        </w:rPr>
        <w:t xml:space="preserve">…avant 16H00. </w:t>
      </w:r>
    </w:p>
    <w:p w14:paraId="37A46096" w14:textId="77777777" w:rsidR="00315BF4" w:rsidRPr="00B71A50" w:rsidRDefault="00315BF4" w:rsidP="00B71A50">
      <w:pPr>
        <w:spacing w:after="0" w:line="240" w:lineRule="auto"/>
        <w:jc w:val="both"/>
        <w:rPr>
          <w:rFonts w:ascii="Open Sans" w:hAnsi="Open Sans" w:cs="Open Sans"/>
          <w:lang w:val="fr-CA"/>
        </w:rPr>
      </w:pPr>
    </w:p>
    <w:p w14:paraId="381A2772" w14:textId="77777777" w:rsidR="00315BF4" w:rsidRPr="00B71A50" w:rsidRDefault="00315BF4" w:rsidP="00B71A50">
      <w:pPr>
        <w:autoSpaceDE w:val="0"/>
        <w:autoSpaceDN w:val="0"/>
        <w:adjustRightInd w:val="0"/>
        <w:spacing w:after="0" w:line="240" w:lineRule="auto"/>
        <w:jc w:val="both"/>
        <w:rPr>
          <w:rFonts w:ascii="Open Sans" w:hAnsi="Open Sans" w:cs="Open Sans"/>
          <w:lang w:val="fr-CA"/>
        </w:rPr>
      </w:pPr>
    </w:p>
    <w:p w14:paraId="5E6808CB" w14:textId="77777777" w:rsidR="00315BF4" w:rsidRPr="00B71A50" w:rsidRDefault="00315BF4" w:rsidP="00B71A50">
      <w:pPr>
        <w:autoSpaceDE w:val="0"/>
        <w:autoSpaceDN w:val="0"/>
        <w:adjustRightInd w:val="0"/>
        <w:spacing w:after="0" w:line="240" w:lineRule="auto"/>
        <w:jc w:val="both"/>
        <w:rPr>
          <w:rFonts w:ascii="Open Sans" w:hAnsi="Open Sans" w:cs="Open Sans"/>
          <w:lang w:val="fr-CA"/>
        </w:rPr>
      </w:pPr>
    </w:p>
    <w:p w14:paraId="58263F6B" w14:textId="77777777" w:rsidR="00315BF4" w:rsidRPr="00B71A50" w:rsidRDefault="00315BF4" w:rsidP="00B71A50">
      <w:pPr>
        <w:autoSpaceDE w:val="0"/>
        <w:autoSpaceDN w:val="0"/>
        <w:adjustRightInd w:val="0"/>
        <w:spacing w:after="0" w:line="240" w:lineRule="auto"/>
        <w:jc w:val="both"/>
        <w:rPr>
          <w:rFonts w:ascii="Open Sans" w:hAnsi="Open Sans" w:cs="Open Sans"/>
          <w:lang w:val="fr-CA"/>
        </w:rPr>
      </w:pPr>
    </w:p>
    <w:p w14:paraId="6C799F96" w14:textId="77777777" w:rsidR="00315BF4" w:rsidRPr="00B71A50" w:rsidRDefault="00315BF4" w:rsidP="00B71A50">
      <w:pPr>
        <w:spacing w:after="0" w:line="240" w:lineRule="auto"/>
        <w:rPr>
          <w:rFonts w:ascii="Open Sans" w:hAnsi="Open Sans" w:cs="Open Sans"/>
          <w:lang w:val="fr-CA"/>
        </w:rPr>
      </w:pPr>
    </w:p>
    <w:sectPr w:rsidR="00315BF4" w:rsidRPr="00B71A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27B1" w14:textId="77777777" w:rsidR="00D32843" w:rsidRDefault="00D32843" w:rsidP="00315BF4">
      <w:pPr>
        <w:spacing w:after="0" w:line="240" w:lineRule="auto"/>
      </w:pPr>
      <w:r>
        <w:separator/>
      </w:r>
    </w:p>
  </w:endnote>
  <w:endnote w:type="continuationSeparator" w:id="0">
    <w:p w14:paraId="7383227E" w14:textId="77777777" w:rsidR="00D32843" w:rsidRDefault="00D32843" w:rsidP="00315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15B95" w14:textId="77777777" w:rsidR="00D32843" w:rsidRDefault="00D32843" w:rsidP="00315BF4">
      <w:pPr>
        <w:spacing w:after="0" w:line="240" w:lineRule="auto"/>
      </w:pPr>
      <w:r>
        <w:separator/>
      </w:r>
    </w:p>
  </w:footnote>
  <w:footnote w:type="continuationSeparator" w:id="0">
    <w:p w14:paraId="55644D91" w14:textId="77777777" w:rsidR="00D32843" w:rsidRDefault="00D32843" w:rsidP="00315BF4">
      <w:pPr>
        <w:spacing w:after="0" w:line="240" w:lineRule="auto"/>
      </w:pPr>
      <w:r>
        <w:continuationSeparator/>
      </w:r>
    </w:p>
  </w:footnote>
  <w:footnote w:id="1">
    <w:p w14:paraId="4E5BC662" w14:textId="77777777" w:rsidR="00315BF4" w:rsidRPr="003528D4" w:rsidRDefault="00315BF4" w:rsidP="00315BF4">
      <w:pPr>
        <w:pStyle w:val="FootnoteText"/>
        <w:spacing w:after="0"/>
        <w:rPr>
          <w:lang w:val="fr-FR"/>
        </w:rPr>
      </w:pPr>
      <w:r>
        <w:rPr>
          <w:rStyle w:val="FootnoteReference"/>
        </w:rPr>
        <w:footnoteRef/>
      </w:r>
      <w:r w:rsidRPr="003528D4">
        <w:rPr>
          <w:lang w:val="fr-FR"/>
        </w:rPr>
        <w:t xml:space="preserve"> UCMIT/PNLS (2019). Rapport sur la m</w:t>
      </w:r>
      <w:r>
        <w:rPr>
          <w:lang w:val="fr-FR"/>
        </w:rPr>
        <w:t>ise en œuvre des activités 2017 du programme VIH.</w:t>
      </w:r>
    </w:p>
  </w:footnote>
  <w:footnote w:id="2">
    <w:p w14:paraId="31D687A0" w14:textId="77777777" w:rsidR="00315BF4" w:rsidRPr="003528D4" w:rsidRDefault="00315BF4" w:rsidP="00315BF4">
      <w:pPr>
        <w:pStyle w:val="FootnoteText"/>
        <w:spacing w:after="0"/>
        <w:rPr>
          <w:lang w:val="fr-FR"/>
        </w:rPr>
      </w:pPr>
      <w:r>
        <w:rPr>
          <w:rStyle w:val="FootnoteReference"/>
        </w:rPr>
        <w:footnoteRef/>
      </w:r>
      <w:r w:rsidRPr="003528D4">
        <w:rPr>
          <w:lang w:val="fr-FR"/>
        </w:rPr>
        <w:t xml:space="preserve"> MESI.ht. Consult</w:t>
      </w:r>
      <w:r>
        <w:rPr>
          <w:rFonts w:cs="Calibri"/>
          <w:lang w:val="fr-FR"/>
        </w:rPr>
        <w:t>é</w:t>
      </w:r>
      <w:r w:rsidRPr="003528D4">
        <w:rPr>
          <w:lang w:val="fr-FR"/>
        </w:rPr>
        <w:t xml:space="preserve"> au mois d</w:t>
      </w:r>
      <w:r>
        <w:rPr>
          <w:lang w:val="fr-FR"/>
        </w:rPr>
        <w:t>’avril 2021.</w:t>
      </w:r>
    </w:p>
  </w:footnote>
  <w:footnote w:id="3">
    <w:p w14:paraId="0E1DDFCB" w14:textId="77777777" w:rsidR="00315BF4" w:rsidRPr="003528D4" w:rsidRDefault="00315BF4" w:rsidP="00315BF4">
      <w:pPr>
        <w:pStyle w:val="FootnoteText"/>
        <w:rPr>
          <w:lang w:val="fr-FR"/>
        </w:rPr>
      </w:pPr>
      <w:r>
        <w:rPr>
          <w:rStyle w:val="FootnoteReference"/>
        </w:rPr>
        <w:footnoteRef/>
      </w:r>
      <w:r w:rsidRPr="003528D4">
        <w:rPr>
          <w:lang w:val="fr-FR"/>
        </w:rPr>
        <w:t xml:space="preserve"> Résultats d’analyse</w:t>
      </w:r>
      <w:r>
        <w:rPr>
          <w:lang w:val="fr-FR"/>
        </w:rPr>
        <w:t>s comparées</w:t>
      </w:r>
      <w:r w:rsidRPr="003528D4">
        <w:rPr>
          <w:lang w:val="fr-FR"/>
        </w:rPr>
        <w:t xml:space="preserve"> des donn</w:t>
      </w:r>
      <w:r w:rsidRPr="003528D4">
        <w:rPr>
          <w:rFonts w:cs="Calibri"/>
          <w:lang w:val="fr-FR"/>
        </w:rPr>
        <w:t>é</w:t>
      </w:r>
      <w:r w:rsidRPr="003528D4">
        <w:rPr>
          <w:lang w:val="fr-FR"/>
        </w:rPr>
        <w:t>es entre M</w:t>
      </w:r>
      <w:r>
        <w:rPr>
          <w:lang w:val="fr-FR"/>
        </w:rPr>
        <w:t>ESI.ht et DHIS2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A7E"/>
    <w:multiLevelType w:val="hybridMultilevel"/>
    <w:tmpl w:val="D1C89A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139F5"/>
    <w:multiLevelType w:val="hybridMultilevel"/>
    <w:tmpl w:val="DE7CC300"/>
    <w:lvl w:ilvl="0" w:tplc="FBE2B106">
      <w:start w:val="2"/>
      <w:numFmt w:val="bullet"/>
      <w:lvlText w:val="-"/>
      <w:lvlJc w:val="left"/>
      <w:pPr>
        <w:ind w:left="720" w:hanging="360"/>
      </w:pPr>
      <w:rPr>
        <w:rFonts w:ascii="Open Sans" w:eastAsia="Calibri" w:hAnsi="Open Sans" w:cs="Open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E775785"/>
    <w:multiLevelType w:val="hybridMultilevel"/>
    <w:tmpl w:val="D57808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B67CFF"/>
    <w:multiLevelType w:val="hybridMultilevel"/>
    <w:tmpl w:val="322667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4046B5"/>
    <w:multiLevelType w:val="hybridMultilevel"/>
    <w:tmpl w:val="558AF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F126AA"/>
    <w:multiLevelType w:val="hybridMultilevel"/>
    <w:tmpl w:val="151C3D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15F1E"/>
    <w:multiLevelType w:val="hybridMultilevel"/>
    <w:tmpl w:val="EC68EF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72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411763">
    <w:abstractNumId w:val="3"/>
  </w:num>
  <w:num w:numId="2" w16cid:durableId="1892644533">
    <w:abstractNumId w:val="6"/>
  </w:num>
  <w:num w:numId="3" w16cid:durableId="1040664098">
    <w:abstractNumId w:val="2"/>
  </w:num>
  <w:num w:numId="4" w16cid:durableId="1525510319">
    <w:abstractNumId w:val="0"/>
  </w:num>
  <w:num w:numId="5" w16cid:durableId="921910225">
    <w:abstractNumId w:val="4"/>
  </w:num>
  <w:num w:numId="6" w16cid:durableId="289096706">
    <w:abstractNumId w:val="5"/>
  </w:num>
  <w:num w:numId="7" w16cid:durableId="1525437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F4"/>
    <w:rsid w:val="00006113"/>
    <w:rsid w:val="00085CC9"/>
    <w:rsid w:val="000B6786"/>
    <w:rsid w:val="000C0F43"/>
    <w:rsid w:val="000D1936"/>
    <w:rsid w:val="00114770"/>
    <w:rsid w:val="001B54FD"/>
    <w:rsid w:val="001B65DA"/>
    <w:rsid w:val="00224D0C"/>
    <w:rsid w:val="002336EA"/>
    <w:rsid w:val="0028308D"/>
    <w:rsid w:val="00292E11"/>
    <w:rsid w:val="00315BF4"/>
    <w:rsid w:val="003971AF"/>
    <w:rsid w:val="00450CD8"/>
    <w:rsid w:val="00481698"/>
    <w:rsid w:val="0048420D"/>
    <w:rsid w:val="00543A0A"/>
    <w:rsid w:val="00554364"/>
    <w:rsid w:val="005568B7"/>
    <w:rsid w:val="005638E5"/>
    <w:rsid w:val="00570628"/>
    <w:rsid w:val="005E4C56"/>
    <w:rsid w:val="005F6F25"/>
    <w:rsid w:val="0060083B"/>
    <w:rsid w:val="006311FC"/>
    <w:rsid w:val="006472D4"/>
    <w:rsid w:val="00656088"/>
    <w:rsid w:val="006A7D80"/>
    <w:rsid w:val="006F2DAB"/>
    <w:rsid w:val="008119CF"/>
    <w:rsid w:val="00857852"/>
    <w:rsid w:val="00873E4E"/>
    <w:rsid w:val="008C7A46"/>
    <w:rsid w:val="008D4AA4"/>
    <w:rsid w:val="008E0A49"/>
    <w:rsid w:val="00933584"/>
    <w:rsid w:val="00957ECE"/>
    <w:rsid w:val="0098307B"/>
    <w:rsid w:val="00A203D9"/>
    <w:rsid w:val="00A33C65"/>
    <w:rsid w:val="00AF5095"/>
    <w:rsid w:val="00B217C9"/>
    <w:rsid w:val="00B71A50"/>
    <w:rsid w:val="00BC7AC0"/>
    <w:rsid w:val="00BD09DE"/>
    <w:rsid w:val="00BF2444"/>
    <w:rsid w:val="00C12B08"/>
    <w:rsid w:val="00C2096E"/>
    <w:rsid w:val="00C3015A"/>
    <w:rsid w:val="00C62B6F"/>
    <w:rsid w:val="00D32843"/>
    <w:rsid w:val="00DD2209"/>
    <w:rsid w:val="00DD6F3C"/>
    <w:rsid w:val="00E92980"/>
    <w:rsid w:val="00EC2433"/>
    <w:rsid w:val="00ED3E8C"/>
    <w:rsid w:val="00ED7557"/>
    <w:rsid w:val="00F6043E"/>
    <w:rsid w:val="00F7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1847"/>
  <w15:chartTrackingRefBased/>
  <w15:docId w15:val="{EDED687D-31F0-4D29-BAB5-ECB16F21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BF4"/>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5BF4"/>
    <w:rPr>
      <w:sz w:val="20"/>
      <w:szCs w:val="20"/>
    </w:rPr>
  </w:style>
  <w:style w:type="character" w:customStyle="1" w:styleId="FootnoteTextChar">
    <w:name w:val="Footnote Text Char"/>
    <w:basedOn w:val="DefaultParagraphFont"/>
    <w:link w:val="FootnoteText"/>
    <w:uiPriority w:val="99"/>
    <w:semiHidden/>
    <w:rsid w:val="00315BF4"/>
    <w:rPr>
      <w:rFonts w:ascii="Calibri" w:eastAsia="Calibri" w:hAnsi="Calibri" w:cs="Times New Roman"/>
      <w:kern w:val="0"/>
      <w:sz w:val="20"/>
      <w:szCs w:val="20"/>
      <w14:ligatures w14:val="none"/>
    </w:rPr>
  </w:style>
  <w:style w:type="character" w:styleId="FootnoteReference">
    <w:name w:val="footnote reference"/>
    <w:uiPriority w:val="99"/>
    <w:semiHidden/>
    <w:unhideWhenUsed/>
    <w:rsid w:val="00315BF4"/>
    <w:rPr>
      <w:vertAlign w:val="superscript"/>
    </w:rPr>
  </w:style>
  <w:style w:type="paragraph" w:styleId="Header">
    <w:name w:val="header"/>
    <w:basedOn w:val="Normal"/>
    <w:link w:val="HeaderChar"/>
    <w:uiPriority w:val="99"/>
    <w:unhideWhenUsed/>
    <w:rsid w:val="001B54F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B54F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1501</Words>
  <Characters>8562</Characters>
  <Application>Microsoft Office Word</Application>
  <DocSecurity>0</DocSecurity>
  <Lines>71</Lines>
  <Paragraphs>20</Paragraphs>
  <ScaleCrop>false</ScaleCrop>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Farah N.</dc:creator>
  <cp:keywords/>
  <dc:description/>
  <cp:lastModifiedBy>Bernadine Verdieu</cp:lastModifiedBy>
  <cp:revision>2</cp:revision>
  <dcterms:created xsi:type="dcterms:W3CDTF">2023-06-08T17:36:00Z</dcterms:created>
  <dcterms:modified xsi:type="dcterms:W3CDTF">2023-06-08T17:36:00Z</dcterms:modified>
</cp:coreProperties>
</file>