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477D0" w14:textId="1787587F" w:rsidR="00CA599F" w:rsidRPr="00C04A8A" w:rsidRDefault="00CA599F" w:rsidP="00D9444A">
      <w:pPr>
        <w:spacing w:after="0" w:line="240" w:lineRule="auto"/>
        <w:jc w:val="center"/>
        <w:rPr>
          <w:rFonts w:ascii="Open Sans" w:hAnsi="Open Sans" w:cs="Open Sans"/>
          <w:b/>
          <w:bCs/>
          <w:sz w:val="28"/>
          <w:szCs w:val="28"/>
        </w:rPr>
      </w:pPr>
      <w:r w:rsidRPr="00B17F02">
        <w:rPr>
          <w:rFonts w:ascii="Open Sans" w:hAnsi="Open Sans" w:cs="Open Sans"/>
          <w:noProof/>
          <w:lang w:val="en-US"/>
        </w:rPr>
        <w:drawing>
          <wp:anchor distT="0" distB="0" distL="0" distR="0" simplePos="0" relativeHeight="251658240" behindDoc="1" locked="0" layoutInCell="1" hidden="0" allowOverlap="1" wp14:anchorId="2124782E" wp14:editId="63E4921B">
            <wp:simplePos x="0" y="0"/>
            <wp:positionH relativeFrom="column">
              <wp:posOffset>2562860</wp:posOffset>
            </wp:positionH>
            <wp:positionV relativeFrom="paragraph">
              <wp:posOffset>-582295</wp:posOffset>
            </wp:positionV>
            <wp:extent cx="1038860" cy="734060"/>
            <wp:effectExtent l="0" t="0" r="8890" b="8890"/>
            <wp:wrapTopAndBottom/>
            <wp:docPr id="3" name="Picture 3" descr="armoirie"/>
            <wp:cNvGraphicFramePr/>
            <a:graphic xmlns:a="http://schemas.openxmlformats.org/drawingml/2006/main">
              <a:graphicData uri="http://schemas.openxmlformats.org/drawingml/2006/picture">
                <pic:pic xmlns:pic="http://schemas.openxmlformats.org/drawingml/2006/picture">
                  <pic:nvPicPr>
                    <pic:cNvPr id="0" name="image3.png" descr="armoirie"/>
                    <pic:cNvPicPr preferRelativeResize="0"/>
                  </pic:nvPicPr>
                  <pic:blipFill>
                    <a:blip r:embed="rId5"/>
                    <a:srcRect/>
                    <a:stretch>
                      <a:fillRect/>
                    </a:stretch>
                  </pic:blipFill>
                  <pic:spPr>
                    <a:xfrm>
                      <a:off x="0" y="0"/>
                      <a:ext cx="1038860" cy="734060"/>
                    </a:xfrm>
                    <a:prstGeom prst="rect">
                      <a:avLst/>
                    </a:prstGeom>
                    <a:ln/>
                  </pic:spPr>
                </pic:pic>
              </a:graphicData>
            </a:graphic>
            <wp14:sizeRelV relativeFrom="margin">
              <wp14:pctHeight>0</wp14:pctHeight>
            </wp14:sizeRelV>
          </wp:anchor>
        </w:drawing>
      </w:r>
      <w:r w:rsidRPr="00C04A8A">
        <w:rPr>
          <w:rFonts w:ascii="Open Sans" w:hAnsi="Open Sans" w:cs="Open Sans"/>
          <w:b/>
          <w:bCs/>
          <w:sz w:val="28"/>
          <w:szCs w:val="28"/>
        </w:rPr>
        <w:t>Ministère de la Santé Publique et de la Population</w:t>
      </w:r>
    </w:p>
    <w:p w14:paraId="212477D2" w14:textId="7B412383" w:rsidR="00CA599F" w:rsidRPr="00C04A8A" w:rsidRDefault="00CA599F" w:rsidP="00D9444A">
      <w:pPr>
        <w:tabs>
          <w:tab w:val="left" w:pos="753"/>
          <w:tab w:val="right" w:pos="9360"/>
        </w:tabs>
        <w:spacing w:after="0" w:line="240" w:lineRule="auto"/>
        <w:jc w:val="center"/>
        <w:rPr>
          <w:rFonts w:ascii="Open Sans" w:hAnsi="Open Sans" w:cs="Open Sans"/>
          <w:b/>
          <w:bCs/>
          <w:sz w:val="28"/>
          <w:szCs w:val="28"/>
        </w:rPr>
      </w:pPr>
      <w:r w:rsidRPr="00C04A8A">
        <w:rPr>
          <w:rFonts w:ascii="Open Sans" w:hAnsi="Open Sans" w:cs="Open Sans"/>
          <w:b/>
          <w:bCs/>
          <w:sz w:val="28"/>
          <w:szCs w:val="28"/>
        </w:rPr>
        <w:t>Uni</w:t>
      </w:r>
      <w:r>
        <w:rPr>
          <w:rFonts w:ascii="Open Sans" w:hAnsi="Open Sans" w:cs="Open Sans"/>
          <w:b/>
          <w:bCs/>
          <w:sz w:val="28"/>
          <w:szCs w:val="28"/>
        </w:rPr>
        <w:t>té de Coordination de</w:t>
      </w:r>
      <w:r w:rsidR="00D9444A">
        <w:rPr>
          <w:rFonts w:ascii="Open Sans" w:hAnsi="Open Sans" w:cs="Open Sans"/>
          <w:b/>
          <w:bCs/>
          <w:sz w:val="28"/>
          <w:szCs w:val="28"/>
        </w:rPr>
        <w:t>s</w:t>
      </w:r>
      <w:r>
        <w:rPr>
          <w:rFonts w:ascii="Open Sans" w:hAnsi="Open Sans" w:cs="Open Sans"/>
          <w:b/>
          <w:bCs/>
          <w:sz w:val="28"/>
          <w:szCs w:val="28"/>
        </w:rPr>
        <w:t xml:space="preserve"> Maladies I</w:t>
      </w:r>
      <w:r w:rsidRPr="00C04A8A">
        <w:rPr>
          <w:rFonts w:ascii="Open Sans" w:hAnsi="Open Sans" w:cs="Open Sans"/>
          <w:b/>
          <w:bCs/>
          <w:sz w:val="28"/>
          <w:szCs w:val="28"/>
        </w:rPr>
        <w:t>nfectieuses et</w:t>
      </w:r>
      <w:r w:rsidR="002B187D">
        <w:rPr>
          <w:rFonts w:ascii="Open Sans" w:hAnsi="Open Sans" w:cs="Open Sans"/>
          <w:b/>
          <w:bCs/>
          <w:sz w:val="28"/>
          <w:szCs w:val="28"/>
        </w:rPr>
        <w:t xml:space="preserve"> </w:t>
      </w:r>
      <w:r>
        <w:rPr>
          <w:rFonts w:ascii="Open Sans" w:hAnsi="Open Sans" w:cs="Open Sans"/>
          <w:b/>
          <w:bCs/>
          <w:sz w:val="28"/>
          <w:szCs w:val="28"/>
        </w:rPr>
        <w:t>T</w:t>
      </w:r>
      <w:r w:rsidRPr="00C04A8A">
        <w:rPr>
          <w:rFonts w:ascii="Open Sans" w:hAnsi="Open Sans" w:cs="Open Sans"/>
          <w:b/>
          <w:bCs/>
          <w:sz w:val="28"/>
          <w:szCs w:val="28"/>
        </w:rPr>
        <w:t>ransmissibles</w:t>
      </w:r>
    </w:p>
    <w:p w14:paraId="212477D3" w14:textId="77777777" w:rsidR="00CA599F" w:rsidRDefault="00CA599F" w:rsidP="00D9444A">
      <w:pPr>
        <w:spacing w:after="0" w:line="240" w:lineRule="auto"/>
        <w:jc w:val="center"/>
        <w:rPr>
          <w:rFonts w:ascii="Open Sans" w:hAnsi="Open Sans" w:cs="Open Sans"/>
          <w:b/>
          <w:bCs/>
        </w:rPr>
      </w:pPr>
    </w:p>
    <w:p w14:paraId="212477D4" w14:textId="77777777" w:rsidR="00CA599F" w:rsidRDefault="00CA599F" w:rsidP="00CA599F">
      <w:pPr>
        <w:spacing w:after="0" w:line="240" w:lineRule="auto"/>
        <w:rPr>
          <w:rFonts w:ascii="Open Sans" w:hAnsi="Open Sans" w:cs="Open Sans"/>
          <w:b/>
          <w:bCs/>
        </w:rPr>
      </w:pPr>
    </w:p>
    <w:p w14:paraId="212477D5" w14:textId="77777777" w:rsidR="00CA599F" w:rsidRDefault="00CA599F" w:rsidP="00CA599F">
      <w:pPr>
        <w:spacing w:after="0" w:line="240" w:lineRule="auto"/>
        <w:rPr>
          <w:rFonts w:ascii="Open Sans" w:hAnsi="Open Sans" w:cs="Open Sans"/>
          <w:b/>
          <w:bCs/>
          <w:i/>
        </w:rPr>
      </w:pPr>
      <w:r>
        <w:rPr>
          <w:rFonts w:ascii="Open Sans" w:hAnsi="Open Sans" w:cs="Open Sans"/>
          <w:b/>
          <w:bCs/>
          <w:i/>
        </w:rPr>
        <w:t>PNLS/FM/23-ms/</w:t>
      </w:r>
      <w:r w:rsidRPr="008766A4">
        <w:rPr>
          <w:rFonts w:ascii="Open Sans" w:hAnsi="Open Sans" w:cs="Open Sans"/>
          <w:b/>
          <w:bCs/>
          <w:i/>
        </w:rPr>
        <w:t>10</w:t>
      </w:r>
      <w:r>
        <w:rPr>
          <w:rFonts w:ascii="Open Sans" w:hAnsi="Open Sans" w:cs="Open Sans"/>
          <w:b/>
          <w:bCs/>
          <w:i/>
        </w:rPr>
        <w:t>5</w:t>
      </w:r>
      <w:r w:rsidRPr="008766A4">
        <w:rPr>
          <w:rFonts w:ascii="Open Sans" w:hAnsi="Open Sans" w:cs="Open Sans"/>
          <w:b/>
          <w:bCs/>
          <w:i/>
        </w:rPr>
        <w:t>-0</w:t>
      </w:r>
      <w:r>
        <w:rPr>
          <w:rFonts w:ascii="Open Sans" w:hAnsi="Open Sans" w:cs="Open Sans"/>
          <w:b/>
          <w:bCs/>
          <w:i/>
        </w:rPr>
        <w:t>09</w:t>
      </w:r>
    </w:p>
    <w:p w14:paraId="212477D6" w14:textId="77777777" w:rsidR="00CA599F" w:rsidRPr="00B17F02" w:rsidRDefault="00CA599F" w:rsidP="00CA599F">
      <w:pPr>
        <w:spacing w:after="0" w:line="240" w:lineRule="auto"/>
        <w:rPr>
          <w:rFonts w:ascii="Open Sans" w:hAnsi="Open Sans" w:cs="Open Sans"/>
          <w:b/>
          <w:bCs/>
        </w:rPr>
      </w:pPr>
    </w:p>
    <w:p w14:paraId="212477D7" w14:textId="77777777" w:rsidR="00CA599F" w:rsidRPr="00C04A8A" w:rsidRDefault="00CA599F" w:rsidP="00CA599F">
      <w:pPr>
        <w:spacing w:after="0" w:line="240" w:lineRule="auto"/>
        <w:jc w:val="both"/>
        <w:rPr>
          <w:rFonts w:ascii="Open Sans" w:hAnsi="Open Sans" w:cs="Open Sans"/>
          <w:b/>
          <w:bCs/>
          <w:sz w:val="24"/>
          <w:szCs w:val="24"/>
        </w:rPr>
      </w:pPr>
      <w:r w:rsidRPr="00C04A8A">
        <w:rPr>
          <w:rFonts w:ascii="Open Sans" w:hAnsi="Open Sans" w:cs="Open Sans"/>
          <w:b/>
          <w:bCs/>
          <w:sz w:val="24"/>
          <w:szCs w:val="24"/>
        </w:rPr>
        <w:t>Enquête sur la résistance du VIH aux ARV chez les enfants</w:t>
      </w:r>
      <w:r>
        <w:rPr>
          <w:rFonts w:ascii="Open Sans" w:hAnsi="Open Sans" w:cs="Open Sans"/>
          <w:b/>
          <w:bCs/>
          <w:sz w:val="24"/>
          <w:szCs w:val="24"/>
        </w:rPr>
        <w:t>, les adolescents et les adultes</w:t>
      </w:r>
    </w:p>
    <w:p w14:paraId="212477D8" w14:textId="77777777" w:rsidR="00CA599F" w:rsidRDefault="00CA599F" w:rsidP="00AF18D3">
      <w:pPr>
        <w:spacing w:after="0" w:line="240" w:lineRule="auto"/>
        <w:rPr>
          <w:rFonts w:ascii="Open Sans" w:hAnsi="Open Sans" w:cs="Open Sans"/>
          <w:b/>
          <w:bCs/>
        </w:rPr>
      </w:pPr>
    </w:p>
    <w:p w14:paraId="212477D9" w14:textId="77777777" w:rsidR="0079623C" w:rsidRPr="0025781A" w:rsidRDefault="0079623C" w:rsidP="00AF18D3">
      <w:pPr>
        <w:spacing w:after="0" w:line="240" w:lineRule="auto"/>
        <w:rPr>
          <w:rFonts w:ascii="Open Sans" w:hAnsi="Open Sans" w:cs="Open Sans"/>
          <w:b/>
          <w:sz w:val="20"/>
          <w:szCs w:val="20"/>
        </w:rPr>
      </w:pPr>
      <w:r w:rsidRPr="0025781A">
        <w:rPr>
          <w:rFonts w:ascii="Open Sans" w:hAnsi="Open Sans" w:cs="Open Sans"/>
          <w:b/>
          <w:sz w:val="20"/>
          <w:szCs w:val="20"/>
        </w:rPr>
        <w:t>Mission du PNLS</w:t>
      </w:r>
    </w:p>
    <w:p w14:paraId="212477DA" w14:textId="77777777" w:rsidR="0079623C" w:rsidRPr="0025781A" w:rsidRDefault="0079623C" w:rsidP="00AF18D3">
      <w:pPr>
        <w:spacing w:after="0" w:line="240" w:lineRule="auto"/>
        <w:jc w:val="both"/>
        <w:rPr>
          <w:rFonts w:ascii="Open Sans" w:hAnsi="Open Sans" w:cs="Open Sans"/>
          <w:sz w:val="20"/>
          <w:szCs w:val="20"/>
          <w:lang w:val="fr-BE"/>
        </w:rPr>
      </w:pPr>
      <w:r w:rsidRPr="0025781A">
        <w:rPr>
          <w:rFonts w:ascii="Open Sans" w:hAnsi="Open Sans" w:cs="Open Sans"/>
          <w:sz w:val="20"/>
          <w:szCs w:val="20"/>
          <w:lang w:val="fr-BE"/>
        </w:rPr>
        <w:t>La Coordination Technique du Programme National de Lutte contre le Sida (PNLS) est une entité</w:t>
      </w:r>
      <w:r w:rsidRPr="0025781A">
        <w:rPr>
          <w:rFonts w:ascii="Open Sans" w:hAnsi="Open Sans" w:cs="Open Sans"/>
          <w:color w:val="FF0000"/>
          <w:sz w:val="20"/>
          <w:szCs w:val="20"/>
          <w:lang w:val="fr-BE"/>
        </w:rPr>
        <w:t xml:space="preserve"> </w:t>
      </w:r>
      <w:r w:rsidRPr="0025781A">
        <w:rPr>
          <w:rFonts w:ascii="Open Sans" w:hAnsi="Open Sans" w:cs="Open Sans"/>
          <w:sz w:val="20"/>
          <w:szCs w:val="20"/>
          <w:lang w:val="fr-BE"/>
        </w:rPr>
        <w:t xml:space="preserve">au sein de l’Unité de Coordination des Maladies Infectieuses et Transmissibles (UCMIT) du </w:t>
      </w:r>
      <w:proofErr w:type="gramStart"/>
      <w:r w:rsidR="00AF18D3" w:rsidRPr="0025781A">
        <w:rPr>
          <w:rFonts w:ascii="Open Sans" w:hAnsi="Open Sans" w:cs="Open Sans"/>
          <w:sz w:val="20"/>
          <w:szCs w:val="20"/>
          <w:lang w:val="fr-BE"/>
        </w:rPr>
        <w:t>M</w:t>
      </w:r>
      <w:r w:rsidRPr="0025781A">
        <w:rPr>
          <w:rFonts w:ascii="Open Sans" w:hAnsi="Open Sans" w:cs="Open Sans"/>
          <w:sz w:val="20"/>
          <w:szCs w:val="20"/>
          <w:lang w:val="fr-BE"/>
        </w:rPr>
        <w:t>inistère</w:t>
      </w:r>
      <w:proofErr w:type="gramEnd"/>
      <w:r w:rsidRPr="0025781A">
        <w:rPr>
          <w:rFonts w:ascii="Open Sans" w:hAnsi="Open Sans" w:cs="Open Sans"/>
          <w:sz w:val="20"/>
          <w:szCs w:val="20"/>
          <w:lang w:val="fr-BE"/>
        </w:rPr>
        <w:t xml:space="preserve"> de la Santé Publique et de la Population (MSPP) qui a pour mission de promouvoir, de coordonner et de contrôler sur toute l’étendue du territoire national toutes les activités susceptibles de rendre possible le contrôle de l’épidémie du VIH en Haïti.</w:t>
      </w:r>
    </w:p>
    <w:p w14:paraId="212477DB" w14:textId="77777777" w:rsidR="00AF18D3" w:rsidRPr="0025781A" w:rsidRDefault="00AF18D3" w:rsidP="00AF18D3">
      <w:pPr>
        <w:spacing w:after="0" w:line="240" w:lineRule="auto"/>
        <w:jc w:val="both"/>
        <w:rPr>
          <w:rFonts w:ascii="Open Sans" w:hAnsi="Open Sans" w:cs="Open Sans"/>
          <w:sz w:val="20"/>
          <w:szCs w:val="20"/>
          <w:lang w:val="fr-BE"/>
        </w:rPr>
      </w:pPr>
    </w:p>
    <w:p w14:paraId="212477DC" w14:textId="77777777" w:rsidR="0079623C" w:rsidRPr="0025781A" w:rsidRDefault="0079623C" w:rsidP="00AF18D3">
      <w:pPr>
        <w:spacing w:after="0" w:line="240" w:lineRule="auto"/>
        <w:rPr>
          <w:rFonts w:ascii="Open Sans" w:hAnsi="Open Sans" w:cs="Open Sans"/>
          <w:b/>
          <w:sz w:val="20"/>
          <w:szCs w:val="20"/>
        </w:rPr>
      </w:pPr>
      <w:r w:rsidRPr="0025781A">
        <w:rPr>
          <w:rFonts w:ascii="Open Sans" w:hAnsi="Open Sans" w:cs="Open Sans"/>
          <w:b/>
          <w:sz w:val="20"/>
          <w:szCs w:val="20"/>
        </w:rPr>
        <w:t>Mission du Service de Prise en charge</w:t>
      </w:r>
    </w:p>
    <w:p w14:paraId="212477DD" w14:textId="77777777" w:rsidR="0079623C" w:rsidRPr="0025781A" w:rsidRDefault="0079623C" w:rsidP="00AF18D3">
      <w:pPr>
        <w:numPr>
          <w:ilvl w:val="0"/>
          <w:numId w:val="13"/>
        </w:numPr>
        <w:tabs>
          <w:tab w:val="left" w:pos="360"/>
        </w:tabs>
        <w:spacing w:after="0" w:line="240" w:lineRule="auto"/>
        <w:ind w:left="270" w:hanging="270"/>
        <w:contextualSpacing/>
        <w:jc w:val="both"/>
        <w:rPr>
          <w:rFonts w:ascii="Open Sans" w:eastAsia="Calibri" w:hAnsi="Open Sans" w:cs="Open Sans"/>
          <w:sz w:val="20"/>
          <w:szCs w:val="20"/>
        </w:rPr>
      </w:pPr>
      <w:r w:rsidRPr="0025781A">
        <w:rPr>
          <w:rFonts w:ascii="Open Sans" w:eastAsia="Calibri" w:hAnsi="Open Sans" w:cs="Open Sans"/>
          <w:sz w:val="20"/>
          <w:szCs w:val="20"/>
        </w:rPr>
        <w:t>Assurer la coordination de la mise en œuvre des stratégies et plans opérationnels sur la prise en charge globale du VIH, des hépatites, des IST et l’amélioration des services en collaboration avec les Directions départementales sanitaires les partenaires d’implémentation.</w:t>
      </w:r>
    </w:p>
    <w:p w14:paraId="212477DE" w14:textId="77777777" w:rsidR="0079623C" w:rsidRPr="0025781A" w:rsidRDefault="0079623C" w:rsidP="00AF18D3">
      <w:pPr>
        <w:numPr>
          <w:ilvl w:val="0"/>
          <w:numId w:val="13"/>
        </w:numPr>
        <w:tabs>
          <w:tab w:val="left" w:pos="360"/>
        </w:tabs>
        <w:spacing w:after="0" w:line="240" w:lineRule="auto"/>
        <w:ind w:left="270" w:hanging="270"/>
        <w:contextualSpacing/>
        <w:jc w:val="both"/>
        <w:rPr>
          <w:rFonts w:ascii="Open Sans" w:eastAsia="Calibri" w:hAnsi="Open Sans" w:cs="Open Sans"/>
          <w:sz w:val="20"/>
          <w:szCs w:val="20"/>
        </w:rPr>
      </w:pPr>
      <w:r w:rsidRPr="0025781A">
        <w:rPr>
          <w:rFonts w:ascii="Open Sans" w:eastAsia="Calibri" w:hAnsi="Open Sans" w:cs="Open Sans"/>
          <w:sz w:val="20"/>
          <w:szCs w:val="20"/>
        </w:rPr>
        <w:t xml:space="preserve">Faciliter le partage et la fertilisation croisée des expériences réussies, en particulier sur la </w:t>
      </w:r>
      <w:proofErr w:type="gramStart"/>
      <w:r w:rsidRPr="0025781A">
        <w:rPr>
          <w:rFonts w:ascii="Open Sans" w:eastAsia="Calibri" w:hAnsi="Open Sans" w:cs="Open Sans"/>
          <w:sz w:val="20"/>
          <w:szCs w:val="20"/>
        </w:rPr>
        <w:t>rétention</w:t>
      </w:r>
      <w:proofErr w:type="gramEnd"/>
      <w:r w:rsidRPr="0025781A">
        <w:rPr>
          <w:rFonts w:ascii="Open Sans" w:eastAsia="Calibri" w:hAnsi="Open Sans" w:cs="Open Sans"/>
          <w:sz w:val="20"/>
          <w:szCs w:val="20"/>
        </w:rPr>
        <w:t xml:space="preserve"> des patients sous traitement ARV.</w:t>
      </w:r>
    </w:p>
    <w:p w14:paraId="212477DF" w14:textId="77777777" w:rsidR="0079623C" w:rsidRPr="0025781A" w:rsidRDefault="0079623C" w:rsidP="00AF18D3">
      <w:pPr>
        <w:numPr>
          <w:ilvl w:val="0"/>
          <w:numId w:val="13"/>
        </w:numPr>
        <w:tabs>
          <w:tab w:val="left" w:pos="360"/>
        </w:tabs>
        <w:spacing w:after="0" w:line="240" w:lineRule="auto"/>
        <w:ind w:left="270" w:hanging="270"/>
        <w:contextualSpacing/>
        <w:jc w:val="both"/>
        <w:rPr>
          <w:rFonts w:ascii="Open Sans" w:eastAsia="Calibri" w:hAnsi="Open Sans" w:cs="Open Sans"/>
          <w:sz w:val="20"/>
          <w:szCs w:val="20"/>
        </w:rPr>
      </w:pPr>
      <w:r w:rsidRPr="0025781A">
        <w:rPr>
          <w:rFonts w:ascii="Open Sans" w:eastAsia="Calibri" w:hAnsi="Open Sans" w:cs="Open Sans"/>
          <w:sz w:val="20"/>
          <w:szCs w:val="20"/>
        </w:rPr>
        <w:t xml:space="preserve">Assurer et/ou mettre à jour les procédures, normes et standards de prise en charge globale du VIH, des hépatites et IST. </w:t>
      </w:r>
    </w:p>
    <w:p w14:paraId="212477E0" w14:textId="77777777" w:rsidR="0079623C" w:rsidRPr="0025781A" w:rsidRDefault="0079623C" w:rsidP="00AF18D3">
      <w:pPr>
        <w:numPr>
          <w:ilvl w:val="0"/>
          <w:numId w:val="13"/>
        </w:numPr>
        <w:tabs>
          <w:tab w:val="left" w:pos="360"/>
        </w:tabs>
        <w:spacing w:after="0" w:line="240" w:lineRule="auto"/>
        <w:ind w:left="270" w:hanging="270"/>
        <w:contextualSpacing/>
        <w:jc w:val="both"/>
        <w:rPr>
          <w:rFonts w:ascii="Open Sans" w:eastAsia="Calibri" w:hAnsi="Open Sans" w:cs="Open Sans"/>
          <w:sz w:val="20"/>
          <w:szCs w:val="20"/>
        </w:rPr>
      </w:pPr>
      <w:r w:rsidRPr="0025781A">
        <w:rPr>
          <w:rFonts w:ascii="Open Sans" w:eastAsia="Calibri" w:hAnsi="Open Sans" w:cs="Open Sans"/>
          <w:sz w:val="20"/>
          <w:szCs w:val="20"/>
        </w:rPr>
        <w:t>Assurer la supervision des différents aspects du diagnostic, de la prise en charge au niveau des points de prestation de services en coordination avec les départements sanitaires</w:t>
      </w:r>
      <w:r w:rsidRPr="0025781A">
        <w:rPr>
          <w:rFonts w:ascii="Open Sans" w:eastAsia="Calibri" w:hAnsi="Open Sans" w:cs="Open Sans"/>
          <w:color w:val="FF0000"/>
          <w:sz w:val="20"/>
          <w:szCs w:val="20"/>
        </w:rPr>
        <w:t xml:space="preserve"> </w:t>
      </w:r>
      <w:r w:rsidRPr="0025781A">
        <w:rPr>
          <w:rFonts w:ascii="Open Sans" w:eastAsia="Calibri" w:hAnsi="Open Sans" w:cs="Open Sans"/>
          <w:sz w:val="20"/>
          <w:szCs w:val="20"/>
        </w:rPr>
        <w:t>et les partenaires d’implémentation.</w:t>
      </w:r>
    </w:p>
    <w:p w14:paraId="212477E1" w14:textId="77777777" w:rsidR="0079623C" w:rsidRPr="0025781A" w:rsidRDefault="0079623C" w:rsidP="00AF18D3">
      <w:pPr>
        <w:spacing w:after="0" w:line="240" w:lineRule="auto"/>
        <w:ind w:left="360"/>
        <w:contextualSpacing/>
        <w:jc w:val="both"/>
        <w:rPr>
          <w:rFonts w:ascii="Open Sans" w:eastAsia="Calibri" w:hAnsi="Open Sans" w:cs="Open Sans"/>
          <w:sz w:val="20"/>
          <w:szCs w:val="20"/>
        </w:rPr>
      </w:pPr>
    </w:p>
    <w:p w14:paraId="212477E2" w14:textId="77777777" w:rsidR="0079623C" w:rsidRPr="0025781A" w:rsidRDefault="0079623C" w:rsidP="00AF18D3">
      <w:pPr>
        <w:spacing w:after="0" w:line="240" w:lineRule="auto"/>
        <w:rPr>
          <w:rFonts w:ascii="Open Sans" w:hAnsi="Open Sans" w:cs="Open Sans"/>
          <w:b/>
          <w:sz w:val="20"/>
          <w:szCs w:val="20"/>
        </w:rPr>
      </w:pPr>
      <w:r w:rsidRPr="0025781A">
        <w:rPr>
          <w:rFonts w:ascii="Open Sans" w:hAnsi="Open Sans" w:cs="Open Sans"/>
          <w:b/>
          <w:sz w:val="20"/>
          <w:szCs w:val="20"/>
        </w:rPr>
        <w:t xml:space="preserve">Contexte et Justification de l’enquête </w:t>
      </w:r>
    </w:p>
    <w:p w14:paraId="212477E3" w14:textId="77777777" w:rsidR="0079623C" w:rsidRPr="0025781A" w:rsidRDefault="0079623C" w:rsidP="00AF18D3">
      <w:pPr>
        <w:spacing w:after="0" w:line="240" w:lineRule="auto"/>
        <w:jc w:val="both"/>
        <w:rPr>
          <w:rFonts w:ascii="Open Sans" w:hAnsi="Open Sans" w:cs="Open Sans"/>
          <w:sz w:val="20"/>
          <w:szCs w:val="20"/>
        </w:rPr>
      </w:pPr>
      <w:r w:rsidRPr="0025781A">
        <w:rPr>
          <w:rFonts w:ascii="Open Sans" w:hAnsi="Open Sans" w:cs="Open Sans"/>
          <w:sz w:val="20"/>
          <w:szCs w:val="20"/>
        </w:rPr>
        <w:t xml:space="preserve">La résistance du VIH aux médicaments est causée par des changements dans la structure génétique du VIH qui affectent la capacité des médicaments à bloquer la réplication virale. Tous les ARV risquent de devenir partiellement ou totalement inactifs en raison de l’émergence de virus résistants. </w:t>
      </w:r>
    </w:p>
    <w:p w14:paraId="212477E4" w14:textId="77777777" w:rsidR="0079623C" w:rsidRPr="0025781A" w:rsidRDefault="0079623C" w:rsidP="00AF18D3">
      <w:pPr>
        <w:spacing w:after="0" w:line="240" w:lineRule="auto"/>
        <w:jc w:val="both"/>
        <w:rPr>
          <w:rFonts w:ascii="Open Sans" w:hAnsi="Open Sans" w:cs="Open Sans"/>
          <w:sz w:val="20"/>
          <w:szCs w:val="20"/>
        </w:rPr>
      </w:pPr>
      <w:r w:rsidRPr="0025781A">
        <w:rPr>
          <w:rFonts w:ascii="Open Sans" w:hAnsi="Open Sans" w:cs="Open Sans"/>
          <w:sz w:val="20"/>
          <w:szCs w:val="20"/>
        </w:rPr>
        <w:t>Les normes du PNLS recommandent le TAR à base de DTG comme traitement de première intention préférée pour les PVVIH naïfs.</w:t>
      </w:r>
    </w:p>
    <w:p w14:paraId="212477E5" w14:textId="77777777" w:rsidR="0079623C" w:rsidRPr="0025781A" w:rsidRDefault="0079623C" w:rsidP="00AF18D3">
      <w:pPr>
        <w:spacing w:after="0" w:line="240" w:lineRule="auto"/>
        <w:jc w:val="both"/>
        <w:rPr>
          <w:rFonts w:ascii="Open Sans" w:hAnsi="Open Sans" w:cs="Open Sans"/>
          <w:sz w:val="20"/>
          <w:szCs w:val="20"/>
        </w:rPr>
      </w:pPr>
      <w:r w:rsidRPr="0025781A">
        <w:rPr>
          <w:rFonts w:ascii="Open Sans" w:hAnsi="Open Sans" w:cs="Open Sans"/>
          <w:sz w:val="20"/>
          <w:szCs w:val="20"/>
        </w:rPr>
        <w:t>Le TAR à base de DTG est aussi recommandé pour les PVVIH en échec thérapeutique recevant un traitement de première intention à base d’INNTI.</w:t>
      </w:r>
    </w:p>
    <w:p w14:paraId="212477E6" w14:textId="77777777" w:rsidR="0079623C" w:rsidRPr="0025781A" w:rsidRDefault="0079623C" w:rsidP="00AF18D3">
      <w:pPr>
        <w:spacing w:after="0" w:line="240" w:lineRule="auto"/>
        <w:jc w:val="both"/>
        <w:rPr>
          <w:rFonts w:ascii="Open Sans" w:hAnsi="Open Sans" w:cs="Open Sans"/>
          <w:sz w:val="20"/>
          <w:szCs w:val="20"/>
        </w:rPr>
      </w:pPr>
      <w:r w:rsidRPr="0025781A">
        <w:rPr>
          <w:rFonts w:ascii="Open Sans" w:hAnsi="Open Sans" w:cs="Open Sans"/>
          <w:sz w:val="20"/>
          <w:szCs w:val="20"/>
        </w:rPr>
        <w:t>Au cours de cette décennie, le pays a connu une augmentation considérable de l’utilisation du TAR. En décembre 2022, 123</w:t>
      </w:r>
      <w:r w:rsidR="00275923" w:rsidRPr="0025781A">
        <w:rPr>
          <w:rFonts w:ascii="Open Sans" w:hAnsi="Open Sans" w:cs="Open Sans"/>
          <w:sz w:val="20"/>
          <w:szCs w:val="20"/>
        </w:rPr>
        <w:t>,</w:t>
      </w:r>
      <w:r w:rsidRPr="0025781A">
        <w:rPr>
          <w:rFonts w:ascii="Open Sans" w:hAnsi="Open Sans" w:cs="Open Sans"/>
          <w:sz w:val="20"/>
          <w:szCs w:val="20"/>
        </w:rPr>
        <w:t>176 Patients ont été placés sous ARV dont plus de 85 % sous un régime à base de DTG.</w:t>
      </w:r>
    </w:p>
    <w:p w14:paraId="212477E7" w14:textId="77777777" w:rsidR="0079623C" w:rsidRPr="0025781A" w:rsidRDefault="0079623C" w:rsidP="00AF18D3">
      <w:pPr>
        <w:spacing w:after="0" w:line="240" w:lineRule="auto"/>
        <w:jc w:val="both"/>
        <w:rPr>
          <w:rFonts w:ascii="Open Sans" w:hAnsi="Open Sans" w:cs="Open Sans"/>
          <w:sz w:val="20"/>
          <w:szCs w:val="20"/>
        </w:rPr>
      </w:pPr>
      <w:r w:rsidRPr="0025781A">
        <w:rPr>
          <w:rFonts w:ascii="Open Sans" w:hAnsi="Open Sans" w:cs="Open Sans"/>
          <w:sz w:val="20"/>
          <w:szCs w:val="20"/>
        </w:rPr>
        <w:t xml:space="preserve">Alors que le TAR à base de DTG se développe, il est crucial d’estimer dans quelle mesure la résistance au DTG émerge dans les populations recevant un TAR. L’émergence de la résistance au DTG était absente dans les populations naïves avec échec virologique dans les essais cliniques, des </w:t>
      </w:r>
      <w:r w:rsidRPr="0025781A">
        <w:rPr>
          <w:rFonts w:ascii="Open Sans" w:hAnsi="Open Sans" w:cs="Open Sans"/>
          <w:sz w:val="20"/>
          <w:szCs w:val="20"/>
        </w:rPr>
        <w:lastRenderedPageBreak/>
        <w:t xml:space="preserve">preuves récentes suggèrent que la résistance au DTG peut émerger chez les personnes prenant des régimes à base de DTG </w:t>
      </w:r>
      <w:r w:rsidR="00275923" w:rsidRPr="0025781A">
        <w:rPr>
          <w:rFonts w:ascii="Open Sans" w:hAnsi="Open Sans" w:cs="Open Sans"/>
          <w:sz w:val="20"/>
          <w:szCs w:val="20"/>
        </w:rPr>
        <w:t>à</w:t>
      </w:r>
      <w:r w:rsidRPr="0025781A">
        <w:rPr>
          <w:rFonts w:ascii="Open Sans" w:hAnsi="Open Sans" w:cs="Open Sans"/>
          <w:sz w:val="20"/>
          <w:szCs w:val="20"/>
        </w:rPr>
        <w:t xml:space="preserve"> moyen et à long terme.</w:t>
      </w:r>
    </w:p>
    <w:p w14:paraId="212477E8" w14:textId="77777777" w:rsidR="0079623C" w:rsidRPr="0025781A" w:rsidRDefault="0079623C" w:rsidP="00AF18D3">
      <w:pPr>
        <w:spacing w:after="0" w:line="240" w:lineRule="auto"/>
        <w:jc w:val="both"/>
        <w:rPr>
          <w:rFonts w:ascii="Open Sans" w:hAnsi="Open Sans" w:cs="Open Sans"/>
          <w:sz w:val="20"/>
          <w:szCs w:val="20"/>
        </w:rPr>
      </w:pPr>
      <w:r w:rsidRPr="0025781A">
        <w:rPr>
          <w:rFonts w:ascii="Open Sans" w:hAnsi="Open Sans" w:cs="Open Sans"/>
          <w:sz w:val="20"/>
          <w:szCs w:val="20"/>
        </w:rPr>
        <w:t>La résistance du VIH aux ARV peut compromettre l’efficacité des ARV dans la réduction de l’incidence du VIH et de la mortalité associée au VIH</w:t>
      </w:r>
    </w:p>
    <w:p w14:paraId="212477E9" w14:textId="77777777" w:rsidR="0079623C" w:rsidRPr="0025781A" w:rsidRDefault="0079623C" w:rsidP="00AF18D3">
      <w:pPr>
        <w:spacing w:after="0" w:line="240" w:lineRule="auto"/>
        <w:jc w:val="both"/>
        <w:rPr>
          <w:rFonts w:ascii="Open Sans" w:hAnsi="Open Sans" w:cs="Open Sans"/>
          <w:sz w:val="20"/>
          <w:szCs w:val="20"/>
        </w:rPr>
      </w:pPr>
      <w:r w:rsidRPr="0025781A">
        <w:rPr>
          <w:rFonts w:ascii="Open Sans" w:hAnsi="Open Sans" w:cs="Open Sans"/>
          <w:sz w:val="20"/>
          <w:szCs w:val="20"/>
        </w:rPr>
        <w:t>Pour mettre fin à la résistance aux ARV, toutes les parties prenantes doivent promouvoir la disponibilité de médicaments optimaux pour traiter les infections à VIH, soutenir la rétention en soins et l’observance optimale du traitement, accroitre l’accès et l’utilisation des tests de charge virale pour le suivi du traitement et changer de régime rapidement en cas d’échec confirmé au TAR.</w:t>
      </w:r>
    </w:p>
    <w:p w14:paraId="212477EA" w14:textId="77777777" w:rsidR="0079623C" w:rsidRPr="0025781A" w:rsidRDefault="0079623C" w:rsidP="00AF18D3">
      <w:pPr>
        <w:spacing w:after="0" w:line="240" w:lineRule="auto"/>
        <w:jc w:val="both"/>
        <w:rPr>
          <w:rFonts w:ascii="Open Sans" w:hAnsi="Open Sans" w:cs="Open Sans"/>
          <w:sz w:val="20"/>
          <w:szCs w:val="20"/>
        </w:rPr>
      </w:pPr>
      <w:r w:rsidRPr="0025781A">
        <w:rPr>
          <w:rFonts w:ascii="Open Sans" w:hAnsi="Open Sans" w:cs="Open Sans"/>
          <w:sz w:val="20"/>
          <w:szCs w:val="20"/>
        </w:rPr>
        <w:t>La surveillance de la résistance fournit aux pays des preuves qui peuvent être utilisées pour optimiser les résultats du traitement au niveau des patients et de la population. L’OMS recommande que les pays mettent en œuvre des enquêtes représentatives au niveau national sur la pharmaco résistance du VIH dans différentes populations y compris les adultes, les enfants et les adolescents</w:t>
      </w:r>
    </w:p>
    <w:p w14:paraId="212477EB" w14:textId="77777777" w:rsidR="0079623C" w:rsidRPr="0025781A" w:rsidRDefault="0079623C" w:rsidP="00AF18D3">
      <w:pPr>
        <w:spacing w:after="0" w:line="240" w:lineRule="auto"/>
        <w:jc w:val="both"/>
        <w:rPr>
          <w:rFonts w:ascii="Open Sans" w:hAnsi="Open Sans" w:cs="Open Sans"/>
          <w:sz w:val="20"/>
          <w:szCs w:val="20"/>
        </w:rPr>
      </w:pPr>
      <w:r w:rsidRPr="0025781A">
        <w:rPr>
          <w:rFonts w:ascii="Open Sans" w:hAnsi="Open Sans" w:cs="Open Sans"/>
          <w:sz w:val="20"/>
          <w:szCs w:val="20"/>
        </w:rPr>
        <w:t xml:space="preserve">Le plan de stratégie nationale sur la résistance du VIH 2020-2025 aligné sur le plan Mondial sur la résistance aux ARV et mis à jour en 2021 décrit les actions </w:t>
      </w:r>
      <w:r w:rsidR="00275923" w:rsidRPr="0025781A">
        <w:rPr>
          <w:rFonts w:ascii="Open Sans" w:hAnsi="Open Sans" w:cs="Open Sans"/>
          <w:sz w:val="20"/>
          <w:szCs w:val="20"/>
        </w:rPr>
        <w:t>clés</w:t>
      </w:r>
      <w:r w:rsidRPr="0025781A">
        <w:rPr>
          <w:rFonts w:ascii="Open Sans" w:hAnsi="Open Sans" w:cs="Open Sans"/>
          <w:sz w:val="20"/>
          <w:szCs w:val="20"/>
        </w:rPr>
        <w:t xml:space="preserve"> à entreprendre pour prévenir, surveiller et répondre à la résistance aux ARV et pour protéger les progrès en cours vers l’atteinte des objectifs de contrôle de l’épidémie d’ici 2030</w:t>
      </w:r>
    </w:p>
    <w:p w14:paraId="212477EC" w14:textId="77777777" w:rsidR="0079623C" w:rsidRPr="0025781A" w:rsidRDefault="0079623C" w:rsidP="00AF18D3">
      <w:pPr>
        <w:spacing w:after="0" w:line="240" w:lineRule="auto"/>
        <w:jc w:val="both"/>
        <w:rPr>
          <w:rFonts w:ascii="Open Sans" w:hAnsi="Open Sans" w:cs="Open Sans"/>
          <w:sz w:val="20"/>
          <w:szCs w:val="20"/>
        </w:rPr>
      </w:pPr>
      <w:r w:rsidRPr="0025781A">
        <w:rPr>
          <w:rFonts w:ascii="Open Sans" w:hAnsi="Open Sans" w:cs="Open Sans"/>
          <w:sz w:val="20"/>
          <w:szCs w:val="20"/>
        </w:rPr>
        <w:t xml:space="preserve">Entre autres actions clés, le PNLS planifie de mettre en œuvre une enquête sur la résistance du VIH chez les enfants, les adolescents et les adultes recevant un traitement anti rétroviral </w:t>
      </w:r>
    </w:p>
    <w:p w14:paraId="212477ED" w14:textId="77777777" w:rsidR="0079623C" w:rsidRPr="0025781A" w:rsidRDefault="0079623C" w:rsidP="00AF18D3">
      <w:pPr>
        <w:spacing w:after="0" w:line="240" w:lineRule="auto"/>
        <w:jc w:val="both"/>
        <w:rPr>
          <w:rFonts w:ascii="Open Sans" w:hAnsi="Open Sans" w:cs="Open Sans"/>
          <w:sz w:val="20"/>
          <w:szCs w:val="20"/>
        </w:rPr>
      </w:pPr>
      <w:r w:rsidRPr="0025781A">
        <w:rPr>
          <w:rFonts w:ascii="Open Sans" w:hAnsi="Open Sans" w:cs="Open Sans"/>
          <w:sz w:val="20"/>
          <w:szCs w:val="20"/>
        </w:rPr>
        <w:t>Pour ce travail, le PNLS a décidé de recruter un consultant pour élaborer le protocole et mettre en œuvre l’enquête sur la résistance du VIH aux ARV chez les enfants, les adolescents et les adultes</w:t>
      </w:r>
    </w:p>
    <w:p w14:paraId="212477EE" w14:textId="77777777" w:rsidR="00275923" w:rsidRPr="0025781A" w:rsidRDefault="00275923" w:rsidP="00AF18D3">
      <w:pPr>
        <w:spacing w:after="0" w:line="240" w:lineRule="auto"/>
        <w:jc w:val="both"/>
        <w:rPr>
          <w:rFonts w:ascii="Open Sans" w:hAnsi="Open Sans" w:cs="Open Sans"/>
          <w:sz w:val="20"/>
          <w:szCs w:val="20"/>
        </w:rPr>
      </w:pPr>
    </w:p>
    <w:p w14:paraId="212477EF" w14:textId="77777777" w:rsidR="0079623C" w:rsidRPr="0025781A" w:rsidRDefault="0079623C" w:rsidP="00CA599F">
      <w:pPr>
        <w:spacing w:after="0" w:line="240" w:lineRule="auto"/>
        <w:jc w:val="both"/>
        <w:rPr>
          <w:rFonts w:ascii="Open Sans" w:hAnsi="Open Sans" w:cs="Open Sans"/>
          <w:b/>
          <w:sz w:val="20"/>
          <w:szCs w:val="20"/>
        </w:rPr>
      </w:pPr>
      <w:r w:rsidRPr="0025781A">
        <w:rPr>
          <w:rFonts w:ascii="Open Sans" w:hAnsi="Open Sans" w:cs="Open Sans"/>
          <w:b/>
          <w:sz w:val="20"/>
          <w:szCs w:val="20"/>
        </w:rPr>
        <w:t>Objectif Général de la consultation</w:t>
      </w:r>
    </w:p>
    <w:p w14:paraId="212477F0" w14:textId="77777777" w:rsidR="0079623C" w:rsidRPr="0025781A" w:rsidRDefault="0079623C" w:rsidP="00CA599F">
      <w:pPr>
        <w:spacing w:after="0" w:line="240" w:lineRule="auto"/>
        <w:jc w:val="both"/>
        <w:rPr>
          <w:rFonts w:ascii="Open Sans" w:hAnsi="Open Sans" w:cs="Open Sans"/>
          <w:sz w:val="20"/>
          <w:szCs w:val="20"/>
        </w:rPr>
      </w:pPr>
      <w:r w:rsidRPr="0025781A">
        <w:rPr>
          <w:rFonts w:ascii="Open Sans" w:hAnsi="Open Sans" w:cs="Open Sans"/>
          <w:sz w:val="20"/>
          <w:szCs w:val="20"/>
        </w:rPr>
        <w:t>Elaborer les documents et mettre en œuvre l’enquête sur la résistance du VIH aux ARV chez les enfants, les adolescents et les adultes</w:t>
      </w:r>
    </w:p>
    <w:p w14:paraId="212477F1" w14:textId="77777777" w:rsidR="00275923" w:rsidRPr="0025781A" w:rsidRDefault="00275923" w:rsidP="00CA599F">
      <w:pPr>
        <w:spacing w:after="0" w:line="240" w:lineRule="auto"/>
        <w:jc w:val="both"/>
        <w:rPr>
          <w:rFonts w:ascii="Open Sans" w:hAnsi="Open Sans" w:cs="Open Sans"/>
          <w:sz w:val="20"/>
          <w:szCs w:val="20"/>
        </w:rPr>
      </w:pPr>
    </w:p>
    <w:p w14:paraId="212477F2" w14:textId="77777777" w:rsidR="0079623C" w:rsidRPr="0025781A" w:rsidRDefault="0079623C" w:rsidP="00CA599F">
      <w:pPr>
        <w:spacing w:after="0" w:line="240" w:lineRule="auto"/>
        <w:jc w:val="both"/>
        <w:rPr>
          <w:rFonts w:ascii="Open Sans" w:hAnsi="Open Sans" w:cs="Open Sans"/>
          <w:b/>
          <w:sz w:val="20"/>
          <w:szCs w:val="20"/>
        </w:rPr>
      </w:pPr>
      <w:r w:rsidRPr="0025781A">
        <w:rPr>
          <w:rFonts w:ascii="Open Sans" w:hAnsi="Open Sans" w:cs="Open Sans"/>
          <w:b/>
          <w:sz w:val="20"/>
          <w:szCs w:val="20"/>
        </w:rPr>
        <w:t>Objectifs spécifiques</w:t>
      </w:r>
    </w:p>
    <w:p w14:paraId="212477F3" w14:textId="77777777" w:rsidR="0079623C" w:rsidRPr="0025781A" w:rsidRDefault="0079623C" w:rsidP="00CA599F">
      <w:pPr>
        <w:pStyle w:val="ListParagraph"/>
        <w:numPr>
          <w:ilvl w:val="0"/>
          <w:numId w:val="11"/>
        </w:numPr>
        <w:spacing w:after="0" w:line="240" w:lineRule="auto"/>
        <w:ind w:left="270" w:hanging="180"/>
        <w:jc w:val="both"/>
        <w:rPr>
          <w:rFonts w:ascii="Open Sans" w:hAnsi="Open Sans" w:cs="Open Sans"/>
          <w:sz w:val="20"/>
          <w:szCs w:val="20"/>
          <w:lang w:val="fr-FR"/>
        </w:rPr>
      </w:pPr>
      <w:r w:rsidRPr="0025781A">
        <w:rPr>
          <w:rFonts w:ascii="Open Sans" w:hAnsi="Open Sans" w:cs="Open Sans"/>
          <w:sz w:val="20"/>
          <w:szCs w:val="20"/>
          <w:lang w:val="fr-FR"/>
        </w:rPr>
        <w:t xml:space="preserve">Rendre disponible un protocole sur l’enquête de résistance du VIH </w:t>
      </w:r>
    </w:p>
    <w:p w14:paraId="212477F4" w14:textId="77777777" w:rsidR="0079623C" w:rsidRPr="0025781A" w:rsidRDefault="0079623C" w:rsidP="00CA599F">
      <w:pPr>
        <w:pStyle w:val="ListParagraph"/>
        <w:numPr>
          <w:ilvl w:val="0"/>
          <w:numId w:val="11"/>
        </w:numPr>
        <w:spacing w:after="0" w:line="240" w:lineRule="auto"/>
        <w:ind w:left="270" w:hanging="180"/>
        <w:jc w:val="both"/>
        <w:rPr>
          <w:rFonts w:ascii="Open Sans" w:hAnsi="Open Sans" w:cs="Open Sans"/>
          <w:sz w:val="20"/>
          <w:szCs w:val="20"/>
          <w:lang w:val="fr-FR"/>
        </w:rPr>
      </w:pPr>
      <w:r w:rsidRPr="0025781A">
        <w:rPr>
          <w:rFonts w:ascii="Open Sans" w:hAnsi="Open Sans" w:cs="Open Sans"/>
          <w:sz w:val="20"/>
          <w:szCs w:val="20"/>
          <w:lang w:val="fr-FR"/>
        </w:rPr>
        <w:t xml:space="preserve">Soumettre le protocole au comité d’éthique national pour son approbation </w:t>
      </w:r>
    </w:p>
    <w:p w14:paraId="212477F5" w14:textId="77777777" w:rsidR="0079623C" w:rsidRPr="0025781A" w:rsidRDefault="0079623C" w:rsidP="00CA599F">
      <w:pPr>
        <w:pStyle w:val="ListParagraph"/>
        <w:numPr>
          <w:ilvl w:val="0"/>
          <w:numId w:val="11"/>
        </w:numPr>
        <w:spacing w:after="0" w:line="240" w:lineRule="auto"/>
        <w:ind w:left="270" w:hanging="180"/>
        <w:jc w:val="both"/>
        <w:rPr>
          <w:rFonts w:ascii="Open Sans" w:hAnsi="Open Sans" w:cs="Open Sans"/>
          <w:sz w:val="20"/>
          <w:szCs w:val="20"/>
          <w:lang w:val="fr-FR"/>
        </w:rPr>
      </w:pPr>
      <w:r w:rsidRPr="0025781A">
        <w:rPr>
          <w:rFonts w:ascii="Open Sans" w:hAnsi="Open Sans" w:cs="Open Sans"/>
          <w:sz w:val="20"/>
          <w:szCs w:val="20"/>
          <w:lang w:val="fr-FR"/>
        </w:rPr>
        <w:t>Mettre en œuvre le protocole d’enquête.</w:t>
      </w:r>
    </w:p>
    <w:p w14:paraId="212477F6" w14:textId="77777777" w:rsidR="0079623C" w:rsidRPr="0025781A" w:rsidRDefault="0079623C" w:rsidP="00CA599F">
      <w:pPr>
        <w:pStyle w:val="ListParagraph"/>
        <w:numPr>
          <w:ilvl w:val="0"/>
          <w:numId w:val="11"/>
        </w:numPr>
        <w:spacing w:after="0" w:line="240" w:lineRule="auto"/>
        <w:ind w:left="270" w:hanging="180"/>
        <w:jc w:val="both"/>
        <w:rPr>
          <w:rFonts w:ascii="Open Sans" w:hAnsi="Open Sans" w:cs="Open Sans"/>
          <w:sz w:val="20"/>
          <w:szCs w:val="20"/>
          <w:lang w:val="fr-FR"/>
        </w:rPr>
      </w:pPr>
      <w:r w:rsidRPr="0025781A">
        <w:rPr>
          <w:rFonts w:ascii="Open Sans" w:hAnsi="Open Sans" w:cs="Open Sans"/>
          <w:sz w:val="20"/>
          <w:szCs w:val="20"/>
          <w:lang w:val="fr-FR"/>
        </w:rPr>
        <w:t>Estimer la prévalence chez les patients en situation de non-suppression virale (test de charge virale avec ARN VIH &gt; 1000 copies/ml</w:t>
      </w:r>
    </w:p>
    <w:p w14:paraId="212477F7" w14:textId="77777777" w:rsidR="0079623C" w:rsidRPr="0025781A" w:rsidRDefault="0079623C" w:rsidP="00CA599F">
      <w:pPr>
        <w:pStyle w:val="ListParagraph"/>
        <w:numPr>
          <w:ilvl w:val="0"/>
          <w:numId w:val="11"/>
        </w:numPr>
        <w:spacing w:after="0" w:line="240" w:lineRule="auto"/>
        <w:ind w:left="270" w:hanging="180"/>
        <w:jc w:val="both"/>
        <w:rPr>
          <w:rFonts w:ascii="Open Sans" w:hAnsi="Open Sans" w:cs="Open Sans"/>
          <w:sz w:val="20"/>
          <w:szCs w:val="20"/>
          <w:lang w:val="fr-FR"/>
        </w:rPr>
      </w:pPr>
      <w:r w:rsidRPr="0025781A">
        <w:rPr>
          <w:rFonts w:ascii="Open Sans" w:hAnsi="Open Sans" w:cs="Open Sans"/>
          <w:sz w:val="20"/>
          <w:szCs w:val="20"/>
          <w:lang w:val="fr-FR"/>
        </w:rPr>
        <w:t>Estimer la prévalence de la résistance acquise par molécule antirétrovirale et par classe de molécules.</w:t>
      </w:r>
    </w:p>
    <w:p w14:paraId="212477F8" w14:textId="77777777" w:rsidR="00275923" w:rsidRPr="0025781A" w:rsidRDefault="00275923" w:rsidP="00CA599F">
      <w:pPr>
        <w:pStyle w:val="ListParagraph"/>
        <w:spacing w:after="0" w:line="240" w:lineRule="auto"/>
        <w:ind w:left="270"/>
        <w:jc w:val="both"/>
        <w:rPr>
          <w:rFonts w:ascii="Open Sans" w:hAnsi="Open Sans" w:cs="Open Sans"/>
          <w:sz w:val="20"/>
          <w:szCs w:val="20"/>
          <w:lang w:val="fr-FR"/>
        </w:rPr>
      </w:pPr>
    </w:p>
    <w:p w14:paraId="212477F9" w14:textId="77777777" w:rsidR="0079623C" w:rsidRPr="0025781A" w:rsidRDefault="0079623C" w:rsidP="00AF18D3">
      <w:pPr>
        <w:spacing w:after="0" w:line="240" w:lineRule="auto"/>
        <w:rPr>
          <w:rFonts w:ascii="Open Sans" w:hAnsi="Open Sans" w:cs="Open Sans"/>
          <w:b/>
          <w:sz w:val="20"/>
          <w:szCs w:val="20"/>
        </w:rPr>
      </w:pPr>
      <w:r w:rsidRPr="0025781A">
        <w:rPr>
          <w:rFonts w:ascii="Open Sans" w:hAnsi="Open Sans" w:cs="Open Sans"/>
          <w:b/>
          <w:sz w:val="20"/>
          <w:szCs w:val="20"/>
        </w:rPr>
        <w:t>Résultats attendus :</w:t>
      </w:r>
    </w:p>
    <w:p w14:paraId="212477FA" w14:textId="77777777" w:rsidR="0079623C" w:rsidRPr="0025781A" w:rsidRDefault="0079623C" w:rsidP="00275923">
      <w:pPr>
        <w:pStyle w:val="ListParagraph"/>
        <w:numPr>
          <w:ilvl w:val="0"/>
          <w:numId w:val="10"/>
        </w:numPr>
        <w:spacing w:after="0" w:line="240" w:lineRule="auto"/>
        <w:ind w:left="270" w:hanging="180"/>
        <w:rPr>
          <w:rFonts w:ascii="Open Sans" w:hAnsi="Open Sans" w:cs="Open Sans"/>
          <w:sz w:val="20"/>
          <w:szCs w:val="20"/>
          <w:lang w:val="fr-FR"/>
        </w:rPr>
      </w:pPr>
      <w:r w:rsidRPr="0025781A">
        <w:rPr>
          <w:rFonts w:ascii="Open Sans" w:hAnsi="Open Sans" w:cs="Open Sans"/>
          <w:sz w:val="20"/>
          <w:szCs w:val="20"/>
          <w:lang w:val="fr-FR"/>
        </w:rPr>
        <w:t>Le protocole est élaboré et soumis au comité d’éthique national (CEN)</w:t>
      </w:r>
    </w:p>
    <w:p w14:paraId="212477FB" w14:textId="77777777" w:rsidR="0079623C" w:rsidRPr="0025781A" w:rsidRDefault="0079623C" w:rsidP="00CA599F">
      <w:pPr>
        <w:pStyle w:val="ListParagraph"/>
        <w:numPr>
          <w:ilvl w:val="0"/>
          <w:numId w:val="10"/>
        </w:numPr>
        <w:spacing w:after="0" w:line="240" w:lineRule="auto"/>
        <w:ind w:left="270" w:hanging="180"/>
        <w:jc w:val="both"/>
        <w:rPr>
          <w:rFonts w:ascii="Open Sans" w:hAnsi="Open Sans" w:cs="Open Sans"/>
          <w:sz w:val="20"/>
          <w:szCs w:val="20"/>
          <w:lang w:val="fr-FR"/>
        </w:rPr>
      </w:pPr>
      <w:r w:rsidRPr="0025781A">
        <w:rPr>
          <w:rFonts w:ascii="Open Sans" w:hAnsi="Open Sans" w:cs="Open Sans"/>
          <w:sz w:val="20"/>
          <w:szCs w:val="20"/>
          <w:lang w:val="fr-FR"/>
        </w:rPr>
        <w:t>L’enquête est réalisée</w:t>
      </w:r>
    </w:p>
    <w:p w14:paraId="212477FC" w14:textId="77777777" w:rsidR="0079623C" w:rsidRPr="0025781A" w:rsidRDefault="0079623C" w:rsidP="00CA599F">
      <w:pPr>
        <w:pStyle w:val="ListParagraph"/>
        <w:spacing w:after="0" w:line="240" w:lineRule="auto"/>
        <w:jc w:val="both"/>
        <w:rPr>
          <w:rFonts w:ascii="Open Sans" w:hAnsi="Open Sans" w:cs="Open Sans"/>
          <w:sz w:val="20"/>
          <w:szCs w:val="20"/>
          <w:lang w:val="fr-FR"/>
        </w:rPr>
      </w:pPr>
    </w:p>
    <w:p w14:paraId="212477FD" w14:textId="77777777" w:rsidR="0079623C" w:rsidRPr="0025781A" w:rsidRDefault="0079623C" w:rsidP="00CA599F">
      <w:pPr>
        <w:spacing w:after="0" w:line="240" w:lineRule="auto"/>
        <w:jc w:val="both"/>
        <w:rPr>
          <w:rFonts w:ascii="Open Sans" w:hAnsi="Open Sans" w:cs="Open Sans"/>
          <w:b/>
          <w:sz w:val="20"/>
          <w:szCs w:val="20"/>
        </w:rPr>
      </w:pPr>
      <w:r w:rsidRPr="0025781A">
        <w:rPr>
          <w:rFonts w:ascii="Open Sans" w:hAnsi="Open Sans" w:cs="Open Sans"/>
          <w:b/>
          <w:sz w:val="20"/>
          <w:szCs w:val="20"/>
        </w:rPr>
        <w:t>Mission du consultant :</w:t>
      </w:r>
    </w:p>
    <w:p w14:paraId="212477FE" w14:textId="77777777" w:rsidR="0079623C" w:rsidRPr="0025781A" w:rsidRDefault="0079623C" w:rsidP="00CA599F">
      <w:pPr>
        <w:spacing w:after="0" w:line="240" w:lineRule="auto"/>
        <w:jc w:val="both"/>
        <w:rPr>
          <w:rFonts w:ascii="Open Sans" w:hAnsi="Open Sans" w:cs="Open Sans"/>
          <w:sz w:val="20"/>
          <w:szCs w:val="20"/>
        </w:rPr>
      </w:pPr>
      <w:r w:rsidRPr="0025781A">
        <w:rPr>
          <w:rFonts w:ascii="Open Sans" w:hAnsi="Open Sans" w:cs="Open Sans"/>
          <w:sz w:val="20"/>
          <w:szCs w:val="20"/>
        </w:rPr>
        <w:t>Le consultant travaillera sous la supervision de la coordination technique du PNLS à travers le chef du service de prise en charge. Il /Elle devra</w:t>
      </w:r>
    </w:p>
    <w:p w14:paraId="212477FF" w14:textId="77777777" w:rsidR="0079623C" w:rsidRPr="0025781A" w:rsidRDefault="0079623C" w:rsidP="00CA599F">
      <w:pPr>
        <w:pStyle w:val="ListParagraph"/>
        <w:numPr>
          <w:ilvl w:val="0"/>
          <w:numId w:val="9"/>
        </w:numPr>
        <w:spacing w:after="0" w:line="240" w:lineRule="auto"/>
        <w:ind w:left="270" w:hanging="180"/>
        <w:jc w:val="both"/>
        <w:rPr>
          <w:rFonts w:ascii="Open Sans" w:hAnsi="Open Sans" w:cs="Open Sans"/>
          <w:sz w:val="20"/>
          <w:szCs w:val="20"/>
          <w:lang w:val="fr-FR"/>
        </w:rPr>
      </w:pPr>
      <w:r w:rsidRPr="0025781A">
        <w:rPr>
          <w:rFonts w:ascii="Open Sans" w:hAnsi="Open Sans" w:cs="Open Sans"/>
          <w:sz w:val="20"/>
          <w:szCs w:val="20"/>
          <w:lang w:val="fr-FR"/>
        </w:rPr>
        <w:t>Effectuer la revue documentaire sur la résistance du VIH aux ARV</w:t>
      </w:r>
    </w:p>
    <w:p w14:paraId="21247800" w14:textId="77777777" w:rsidR="0079623C" w:rsidRPr="0025781A" w:rsidRDefault="0079623C" w:rsidP="00CA599F">
      <w:pPr>
        <w:pStyle w:val="ListParagraph"/>
        <w:numPr>
          <w:ilvl w:val="0"/>
          <w:numId w:val="9"/>
        </w:numPr>
        <w:spacing w:after="0" w:line="240" w:lineRule="auto"/>
        <w:ind w:left="270" w:hanging="180"/>
        <w:jc w:val="both"/>
        <w:rPr>
          <w:rFonts w:ascii="Open Sans" w:hAnsi="Open Sans" w:cs="Open Sans"/>
          <w:sz w:val="20"/>
          <w:szCs w:val="20"/>
          <w:lang w:val="fr-FR"/>
        </w:rPr>
      </w:pPr>
      <w:r w:rsidRPr="0025781A">
        <w:rPr>
          <w:rFonts w:ascii="Open Sans" w:hAnsi="Open Sans" w:cs="Open Sans"/>
          <w:sz w:val="20"/>
          <w:szCs w:val="20"/>
          <w:lang w:val="fr-FR"/>
        </w:rPr>
        <w:t>Soumettre un protocole</w:t>
      </w:r>
      <w:r w:rsidR="00275923" w:rsidRPr="0025781A">
        <w:rPr>
          <w:rFonts w:ascii="Open Sans" w:hAnsi="Open Sans" w:cs="Open Sans"/>
          <w:sz w:val="20"/>
          <w:szCs w:val="20"/>
          <w:lang w:val="fr-FR"/>
        </w:rPr>
        <w:t xml:space="preserve"> à l’équipe</w:t>
      </w:r>
      <w:r w:rsidRPr="0025781A">
        <w:rPr>
          <w:rFonts w:ascii="Open Sans" w:hAnsi="Open Sans" w:cs="Open Sans"/>
          <w:sz w:val="20"/>
          <w:szCs w:val="20"/>
          <w:lang w:val="fr-FR"/>
        </w:rPr>
        <w:t xml:space="preserve"> conduite par le chef de service de prise en charge du PNLS</w:t>
      </w:r>
    </w:p>
    <w:p w14:paraId="21247801" w14:textId="77777777" w:rsidR="0079623C" w:rsidRPr="0025781A" w:rsidRDefault="0079623C" w:rsidP="00CA599F">
      <w:pPr>
        <w:pStyle w:val="ListParagraph"/>
        <w:numPr>
          <w:ilvl w:val="0"/>
          <w:numId w:val="9"/>
        </w:numPr>
        <w:spacing w:after="0" w:line="240" w:lineRule="auto"/>
        <w:ind w:left="270" w:hanging="180"/>
        <w:jc w:val="both"/>
        <w:rPr>
          <w:rFonts w:ascii="Open Sans" w:hAnsi="Open Sans" w:cs="Open Sans"/>
          <w:sz w:val="20"/>
          <w:szCs w:val="20"/>
          <w:lang w:val="fr-FR"/>
        </w:rPr>
      </w:pPr>
      <w:r w:rsidRPr="0025781A">
        <w:rPr>
          <w:rFonts w:ascii="Open Sans" w:hAnsi="Open Sans" w:cs="Open Sans"/>
          <w:sz w:val="20"/>
          <w:szCs w:val="20"/>
          <w:lang w:val="fr-FR"/>
        </w:rPr>
        <w:t xml:space="preserve">Faciliter la soumission du protocole </w:t>
      </w:r>
      <w:bookmarkStart w:id="0" w:name="_Hlk126055762"/>
      <w:r w:rsidR="00275923" w:rsidRPr="0025781A">
        <w:rPr>
          <w:rFonts w:ascii="Open Sans" w:hAnsi="Open Sans" w:cs="Open Sans"/>
          <w:sz w:val="20"/>
          <w:szCs w:val="20"/>
          <w:lang w:val="fr-FR"/>
        </w:rPr>
        <w:t>au Comité d’Ethique N</w:t>
      </w:r>
      <w:r w:rsidRPr="0025781A">
        <w:rPr>
          <w:rFonts w:ascii="Open Sans" w:hAnsi="Open Sans" w:cs="Open Sans"/>
          <w:sz w:val="20"/>
          <w:szCs w:val="20"/>
          <w:lang w:val="fr-FR"/>
        </w:rPr>
        <w:t xml:space="preserve">ational (CEN) </w:t>
      </w:r>
      <w:bookmarkEnd w:id="0"/>
    </w:p>
    <w:p w14:paraId="21247802" w14:textId="77777777" w:rsidR="0079623C" w:rsidRPr="0025781A" w:rsidRDefault="0079623C" w:rsidP="00CA599F">
      <w:pPr>
        <w:pStyle w:val="ListParagraph"/>
        <w:numPr>
          <w:ilvl w:val="0"/>
          <w:numId w:val="9"/>
        </w:numPr>
        <w:spacing w:after="0" w:line="240" w:lineRule="auto"/>
        <w:ind w:left="270" w:hanging="180"/>
        <w:jc w:val="both"/>
        <w:rPr>
          <w:rFonts w:ascii="Open Sans" w:hAnsi="Open Sans" w:cs="Open Sans"/>
          <w:sz w:val="20"/>
          <w:szCs w:val="20"/>
          <w:lang w:val="fr-FR"/>
        </w:rPr>
      </w:pPr>
      <w:r w:rsidRPr="0025781A">
        <w:rPr>
          <w:rFonts w:ascii="Open Sans" w:hAnsi="Open Sans" w:cs="Open Sans"/>
          <w:sz w:val="20"/>
          <w:szCs w:val="20"/>
          <w:lang w:val="fr-FR"/>
        </w:rPr>
        <w:t xml:space="preserve">Faire la mise en œuvre du protocole approuvé par le </w:t>
      </w:r>
      <w:r w:rsidR="00275923" w:rsidRPr="0025781A">
        <w:rPr>
          <w:rFonts w:ascii="Open Sans" w:hAnsi="Open Sans" w:cs="Open Sans"/>
          <w:sz w:val="20"/>
          <w:szCs w:val="20"/>
          <w:lang w:val="fr-FR"/>
        </w:rPr>
        <w:t>Comité d’Ethique N</w:t>
      </w:r>
      <w:r w:rsidRPr="0025781A">
        <w:rPr>
          <w:rFonts w:ascii="Open Sans" w:hAnsi="Open Sans" w:cs="Open Sans"/>
          <w:sz w:val="20"/>
          <w:szCs w:val="20"/>
          <w:lang w:val="fr-FR"/>
        </w:rPr>
        <w:t>ational (CEN)</w:t>
      </w:r>
    </w:p>
    <w:p w14:paraId="21247803" w14:textId="77777777" w:rsidR="0079623C" w:rsidRPr="0025781A" w:rsidRDefault="0079623C" w:rsidP="00CA599F">
      <w:pPr>
        <w:pStyle w:val="ListParagraph"/>
        <w:numPr>
          <w:ilvl w:val="0"/>
          <w:numId w:val="9"/>
        </w:numPr>
        <w:spacing w:after="0" w:line="240" w:lineRule="auto"/>
        <w:ind w:left="270" w:hanging="180"/>
        <w:jc w:val="both"/>
        <w:rPr>
          <w:rFonts w:ascii="Open Sans" w:hAnsi="Open Sans" w:cs="Open Sans"/>
          <w:sz w:val="20"/>
          <w:szCs w:val="20"/>
          <w:lang w:val="fr-FR"/>
        </w:rPr>
      </w:pPr>
      <w:r w:rsidRPr="0025781A">
        <w:rPr>
          <w:rFonts w:ascii="Open Sans" w:hAnsi="Open Sans" w:cs="Open Sans"/>
          <w:sz w:val="20"/>
          <w:szCs w:val="20"/>
          <w:lang w:val="fr-FR"/>
        </w:rPr>
        <w:t>Produire un rapport final de l’enquête au PNLS/UCMIT</w:t>
      </w:r>
    </w:p>
    <w:p w14:paraId="21247804" w14:textId="77777777" w:rsidR="00275923" w:rsidRPr="0025781A" w:rsidRDefault="00275923" w:rsidP="00275923">
      <w:pPr>
        <w:pStyle w:val="ListParagraph"/>
        <w:spacing w:after="0" w:line="240" w:lineRule="auto"/>
        <w:ind w:left="270"/>
        <w:rPr>
          <w:rFonts w:ascii="Open Sans" w:hAnsi="Open Sans" w:cs="Open Sans"/>
          <w:sz w:val="20"/>
          <w:szCs w:val="20"/>
          <w:lang w:val="fr-FR"/>
        </w:rPr>
      </w:pPr>
    </w:p>
    <w:p w14:paraId="21247805" w14:textId="77777777" w:rsidR="0079623C" w:rsidRPr="0025781A" w:rsidRDefault="0079623C" w:rsidP="00CA599F">
      <w:pPr>
        <w:spacing w:after="0" w:line="240" w:lineRule="auto"/>
        <w:jc w:val="both"/>
        <w:rPr>
          <w:rFonts w:ascii="Open Sans" w:hAnsi="Open Sans" w:cs="Open Sans"/>
          <w:b/>
          <w:sz w:val="20"/>
          <w:szCs w:val="20"/>
        </w:rPr>
      </w:pPr>
      <w:r w:rsidRPr="0025781A">
        <w:rPr>
          <w:rFonts w:ascii="Open Sans" w:hAnsi="Open Sans" w:cs="Open Sans"/>
          <w:b/>
          <w:sz w:val="20"/>
          <w:szCs w:val="20"/>
        </w:rPr>
        <w:lastRenderedPageBreak/>
        <w:t>Profil du consultant :</w:t>
      </w:r>
    </w:p>
    <w:p w14:paraId="21247806" w14:textId="77777777" w:rsidR="0079623C" w:rsidRPr="0025781A" w:rsidRDefault="0079623C" w:rsidP="00CA599F">
      <w:pPr>
        <w:pStyle w:val="ListParagraph"/>
        <w:numPr>
          <w:ilvl w:val="0"/>
          <w:numId w:val="12"/>
        </w:numPr>
        <w:spacing w:after="0" w:line="240" w:lineRule="auto"/>
        <w:ind w:left="270" w:hanging="180"/>
        <w:jc w:val="both"/>
        <w:rPr>
          <w:rFonts w:ascii="Open Sans" w:hAnsi="Open Sans" w:cs="Open Sans"/>
          <w:sz w:val="20"/>
          <w:szCs w:val="20"/>
          <w:lang w:val="fr-FR"/>
        </w:rPr>
      </w:pPr>
      <w:r w:rsidRPr="0025781A">
        <w:rPr>
          <w:rFonts w:ascii="Open Sans" w:hAnsi="Open Sans" w:cs="Open Sans"/>
          <w:sz w:val="20"/>
          <w:szCs w:val="20"/>
          <w:lang w:val="fr-FR"/>
        </w:rPr>
        <w:t>Médecin ayant au moins une maitrise en santé publique avec une expérience d’au moins dix (10) ans dans ce type de consultation</w:t>
      </w:r>
    </w:p>
    <w:p w14:paraId="21247807" w14:textId="77777777" w:rsidR="0079623C" w:rsidRPr="0025781A" w:rsidRDefault="0079623C" w:rsidP="00CA599F">
      <w:pPr>
        <w:pStyle w:val="ListParagraph"/>
        <w:numPr>
          <w:ilvl w:val="0"/>
          <w:numId w:val="12"/>
        </w:numPr>
        <w:spacing w:after="0" w:line="240" w:lineRule="auto"/>
        <w:ind w:left="270" w:hanging="180"/>
        <w:jc w:val="both"/>
        <w:rPr>
          <w:rFonts w:ascii="Open Sans" w:hAnsi="Open Sans" w:cs="Open Sans"/>
          <w:sz w:val="20"/>
          <w:szCs w:val="20"/>
          <w:lang w:val="fr-FR"/>
        </w:rPr>
      </w:pPr>
      <w:r w:rsidRPr="0025781A">
        <w:rPr>
          <w:rFonts w:ascii="Open Sans" w:hAnsi="Open Sans" w:cs="Open Sans"/>
          <w:sz w:val="20"/>
          <w:szCs w:val="20"/>
          <w:lang w:val="fr-FR"/>
        </w:rPr>
        <w:t>Connaissance du système de santé haïtien</w:t>
      </w:r>
    </w:p>
    <w:p w14:paraId="21247808" w14:textId="77777777" w:rsidR="0079623C" w:rsidRPr="0025781A" w:rsidRDefault="0079623C" w:rsidP="00CA599F">
      <w:pPr>
        <w:pStyle w:val="ListParagraph"/>
        <w:numPr>
          <w:ilvl w:val="0"/>
          <w:numId w:val="12"/>
        </w:numPr>
        <w:spacing w:after="0" w:line="240" w:lineRule="auto"/>
        <w:ind w:left="270" w:hanging="180"/>
        <w:jc w:val="both"/>
        <w:rPr>
          <w:rFonts w:ascii="Open Sans" w:hAnsi="Open Sans" w:cs="Open Sans"/>
          <w:sz w:val="20"/>
          <w:szCs w:val="20"/>
          <w:lang w:val="fr-FR"/>
        </w:rPr>
      </w:pPr>
      <w:r w:rsidRPr="0025781A">
        <w:rPr>
          <w:rFonts w:ascii="Open Sans" w:hAnsi="Open Sans" w:cs="Open Sans"/>
          <w:sz w:val="20"/>
          <w:szCs w:val="20"/>
          <w:lang w:val="fr-FR"/>
        </w:rPr>
        <w:t>Expérience dans le VIH est un atout</w:t>
      </w:r>
    </w:p>
    <w:p w14:paraId="21247809" w14:textId="77777777" w:rsidR="0079623C" w:rsidRPr="0025781A" w:rsidRDefault="0079623C" w:rsidP="00CA599F">
      <w:pPr>
        <w:pStyle w:val="ListParagraph"/>
        <w:numPr>
          <w:ilvl w:val="0"/>
          <w:numId w:val="12"/>
        </w:numPr>
        <w:spacing w:after="0" w:line="240" w:lineRule="auto"/>
        <w:ind w:left="270" w:hanging="180"/>
        <w:jc w:val="both"/>
        <w:rPr>
          <w:rFonts w:ascii="Open Sans" w:hAnsi="Open Sans" w:cs="Open Sans"/>
          <w:sz w:val="20"/>
          <w:szCs w:val="20"/>
          <w:lang w:val="fr-FR"/>
        </w:rPr>
      </w:pPr>
      <w:r w:rsidRPr="0025781A">
        <w:rPr>
          <w:rFonts w:ascii="Open Sans" w:hAnsi="Open Sans" w:cs="Open Sans"/>
          <w:sz w:val="20"/>
          <w:szCs w:val="20"/>
          <w:lang w:val="fr-FR"/>
        </w:rPr>
        <w:t>Expérience dans l’élaboration de normes, guide et algorithmes</w:t>
      </w:r>
    </w:p>
    <w:p w14:paraId="2124780A" w14:textId="77777777" w:rsidR="0079623C" w:rsidRPr="0025781A" w:rsidRDefault="0079623C" w:rsidP="00CA599F">
      <w:pPr>
        <w:pStyle w:val="ListParagraph"/>
        <w:numPr>
          <w:ilvl w:val="0"/>
          <w:numId w:val="12"/>
        </w:numPr>
        <w:spacing w:after="0" w:line="240" w:lineRule="auto"/>
        <w:ind w:left="270" w:hanging="180"/>
        <w:jc w:val="both"/>
        <w:rPr>
          <w:rFonts w:ascii="Open Sans" w:hAnsi="Open Sans" w:cs="Open Sans"/>
          <w:sz w:val="20"/>
          <w:szCs w:val="20"/>
          <w:lang w:val="fr-FR"/>
        </w:rPr>
      </w:pPr>
      <w:r w:rsidRPr="0025781A">
        <w:rPr>
          <w:rFonts w:ascii="Open Sans" w:hAnsi="Open Sans" w:cs="Open Sans"/>
          <w:sz w:val="20"/>
          <w:szCs w:val="20"/>
          <w:lang w:val="fr-FR"/>
        </w:rPr>
        <w:t>Capacité de communication   avec les parties prenantes</w:t>
      </w:r>
    </w:p>
    <w:p w14:paraId="2124780B" w14:textId="77777777" w:rsidR="0079623C" w:rsidRPr="0025781A" w:rsidRDefault="0079623C" w:rsidP="00CA599F">
      <w:pPr>
        <w:pStyle w:val="ListParagraph"/>
        <w:numPr>
          <w:ilvl w:val="0"/>
          <w:numId w:val="12"/>
        </w:numPr>
        <w:spacing w:after="0" w:line="240" w:lineRule="auto"/>
        <w:ind w:left="270" w:hanging="180"/>
        <w:jc w:val="both"/>
        <w:rPr>
          <w:rFonts w:ascii="Open Sans" w:hAnsi="Open Sans" w:cs="Open Sans"/>
          <w:sz w:val="20"/>
          <w:szCs w:val="20"/>
          <w:lang w:val="fr-FR"/>
        </w:rPr>
      </w:pPr>
      <w:r w:rsidRPr="0025781A">
        <w:rPr>
          <w:rFonts w:ascii="Open Sans" w:hAnsi="Open Sans" w:cs="Open Sans"/>
          <w:sz w:val="20"/>
          <w:szCs w:val="20"/>
          <w:lang w:val="fr-FR"/>
        </w:rPr>
        <w:t>Capacité de respect des délais</w:t>
      </w:r>
    </w:p>
    <w:p w14:paraId="2124780C" w14:textId="77777777" w:rsidR="0079623C" w:rsidRPr="0025781A" w:rsidRDefault="0079623C" w:rsidP="00CA599F">
      <w:pPr>
        <w:pStyle w:val="ListParagraph"/>
        <w:numPr>
          <w:ilvl w:val="0"/>
          <w:numId w:val="12"/>
        </w:numPr>
        <w:spacing w:after="0" w:line="240" w:lineRule="auto"/>
        <w:ind w:left="270" w:hanging="180"/>
        <w:jc w:val="both"/>
        <w:rPr>
          <w:rFonts w:ascii="Open Sans" w:hAnsi="Open Sans" w:cs="Open Sans"/>
          <w:sz w:val="20"/>
          <w:szCs w:val="20"/>
          <w:lang w:val="fr-FR"/>
        </w:rPr>
      </w:pPr>
      <w:r w:rsidRPr="0025781A">
        <w:rPr>
          <w:rFonts w:ascii="Open Sans" w:hAnsi="Open Sans" w:cs="Open Sans"/>
          <w:sz w:val="20"/>
          <w:szCs w:val="20"/>
          <w:lang w:val="fr-FR"/>
        </w:rPr>
        <w:t>Grande capacité d’analyse et de synthèse</w:t>
      </w:r>
    </w:p>
    <w:p w14:paraId="2124780D" w14:textId="77777777" w:rsidR="00275923" w:rsidRPr="0025781A" w:rsidRDefault="00275923" w:rsidP="00275923">
      <w:pPr>
        <w:spacing w:after="0" w:line="240" w:lineRule="auto"/>
        <w:ind w:left="90"/>
        <w:rPr>
          <w:rFonts w:ascii="Open Sans" w:hAnsi="Open Sans" w:cs="Open Sans"/>
          <w:sz w:val="20"/>
          <w:szCs w:val="20"/>
        </w:rPr>
      </w:pPr>
    </w:p>
    <w:p w14:paraId="2124780E" w14:textId="77777777" w:rsidR="00275923" w:rsidRDefault="00275923" w:rsidP="00275923">
      <w:pPr>
        <w:spacing w:after="0" w:line="240" w:lineRule="auto"/>
        <w:rPr>
          <w:rFonts w:ascii="Open Sans" w:hAnsi="Open Sans" w:cs="Open Sans"/>
          <w:sz w:val="20"/>
          <w:szCs w:val="20"/>
        </w:rPr>
      </w:pPr>
      <w:r w:rsidRPr="0025781A">
        <w:rPr>
          <w:rFonts w:ascii="Open Sans" w:hAnsi="Open Sans" w:cs="Open Sans"/>
          <w:b/>
          <w:sz w:val="20"/>
          <w:szCs w:val="20"/>
        </w:rPr>
        <w:t>Durée de consultation </w:t>
      </w:r>
      <w:r w:rsidRPr="0025781A">
        <w:rPr>
          <w:rFonts w:ascii="Open Sans" w:hAnsi="Open Sans" w:cs="Open Sans"/>
          <w:sz w:val="20"/>
          <w:szCs w:val="20"/>
        </w:rPr>
        <w:t>: 120 jours</w:t>
      </w:r>
    </w:p>
    <w:p w14:paraId="386A228E" w14:textId="77777777" w:rsidR="00D9444A" w:rsidRDefault="00D9444A" w:rsidP="00275923">
      <w:pPr>
        <w:spacing w:after="0" w:line="240" w:lineRule="auto"/>
        <w:rPr>
          <w:rFonts w:ascii="Open Sans" w:hAnsi="Open Sans" w:cs="Open Sans"/>
          <w:sz w:val="20"/>
          <w:szCs w:val="20"/>
        </w:rPr>
      </w:pPr>
    </w:p>
    <w:p w14:paraId="21247810" w14:textId="77777777" w:rsidR="00A65E90" w:rsidRPr="0025781A" w:rsidRDefault="00740457" w:rsidP="00AF18D3">
      <w:pPr>
        <w:spacing w:after="0" w:line="240" w:lineRule="auto"/>
        <w:jc w:val="both"/>
        <w:rPr>
          <w:rFonts w:ascii="Open Sans" w:hAnsi="Open Sans" w:cs="Open Sans"/>
          <w:b/>
          <w:sz w:val="20"/>
          <w:szCs w:val="20"/>
        </w:rPr>
      </w:pPr>
      <w:r w:rsidRPr="0025781A">
        <w:rPr>
          <w:rFonts w:ascii="Open Sans" w:hAnsi="Open Sans" w:cs="Open Sans"/>
          <w:b/>
          <w:sz w:val="20"/>
          <w:szCs w:val="20"/>
        </w:rPr>
        <w:t>Composition du dossier :</w:t>
      </w:r>
    </w:p>
    <w:p w14:paraId="21247811" w14:textId="77777777" w:rsidR="00E66F12" w:rsidRPr="0025781A" w:rsidRDefault="00A65E90" w:rsidP="00A24866">
      <w:pPr>
        <w:pStyle w:val="Header"/>
        <w:numPr>
          <w:ilvl w:val="0"/>
          <w:numId w:val="3"/>
        </w:numPr>
        <w:tabs>
          <w:tab w:val="clear" w:pos="4680"/>
          <w:tab w:val="clear" w:pos="9360"/>
          <w:tab w:val="left" w:pos="270"/>
          <w:tab w:val="left" w:pos="360"/>
        </w:tabs>
        <w:ind w:left="270" w:hanging="180"/>
        <w:jc w:val="both"/>
        <w:rPr>
          <w:rFonts w:ascii="Open Sans" w:hAnsi="Open Sans" w:cs="Open Sans"/>
          <w:sz w:val="20"/>
          <w:szCs w:val="20"/>
          <w:lang w:val="fr-FR"/>
        </w:rPr>
      </w:pPr>
      <w:r w:rsidRPr="0025781A">
        <w:rPr>
          <w:rFonts w:ascii="Open Sans" w:hAnsi="Open Sans" w:cs="Open Sans"/>
          <w:b/>
          <w:sz w:val="20"/>
          <w:szCs w:val="20"/>
          <w:lang w:val="fr-FR"/>
        </w:rPr>
        <w:t xml:space="preserve">Une lettre d’expression d’intérêt </w:t>
      </w:r>
      <w:r w:rsidRPr="0025781A">
        <w:rPr>
          <w:rFonts w:ascii="Open Sans" w:hAnsi="Open Sans" w:cs="Open Sans"/>
          <w:sz w:val="20"/>
          <w:szCs w:val="20"/>
          <w:lang w:val="fr-FR"/>
        </w:rPr>
        <w:t xml:space="preserve">et de disponibilité </w:t>
      </w:r>
      <w:r w:rsidR="0082281D" w:rsidRPr="0025781A">
        <w:rPr>
          <w:rFonts w:ascii="Open Sans" w:hAnsi="Open Sans" w:cs="Open Sans"/>
          <w:sz w:val="20"/>
          <w:szCs w:val="20"/>
          <w:lang w:val="fr-FR"/>
        </w:rPr>
        <w:t>immédiate</w:t>
      </w:r>
    </w:p>
    <w:p w14:paraId="21247812" w14:textId="77777777" w:rsidR="006C31CF" w:rsidRPr="0025781A" w:rsidRDefault="006C31CF" w:rsidP="006C31CF">
      <w:pPr>
        <w:pStyle w:val="Header"/>
        <w:tabs>
          <w:tab w:val="clear" w:pos="4680"/>
          <w:tab w:val="clear" w:pos="9360"/>
          <w:tab w:val="left" w:pos="270"/>
          <w:tab w:val="left" w:pos="360"/>
        </w:tabs>
        <w:ind w:left="270"/>
        <w:jc w:val="both"/>
        <w:rPr>
          <w:rFonts w:ascii="Open Sans" w:hAnsi="Open Sans" w:cs="Open Sans"/>
          <w:sz w:val="20"/>
          <w:szCs w:val="20"/>
          <w:lang w:val="fr-FR"/>
        </w:rPr>
      </w:pPr>
    </w:p>
    <w:p w14:paraId="21247813" w14:textId="77777777" w:rsidR="00B6700D" w:rsidRPr="0025781A" w:rsidRDefault="00E66F12" w:rsidP="00E66F12">
      <w:pPr>
        <w:pStyle w:val="Header"/>
        <w:numPr>
          <w:ilvl w:val="0"/>
          <w:numId w:val="3"/>
        </w:numPr>
        <w:tabs>
          <w:tab w:val="clear" w:pos="4680"/>
          <w:tab w:val="clear" w:pos="9360"/>
          <w:tab w:val="left" w:pos="360"/>
        </w:tabs>
        <w:ind w:hanging="270"/>
        <w:jc w:val="both"/>
        <w:rPr>
          <w:rFonts w:ascii="Open Sans" w:hAnsi="Open Sans" w:cs="Open Sans"/>
          <w:sz w:val="20"/>
          <w:szCs w:val="20"/>
          <w:lang w:val="fr-FR"/>
        </w:rPr>
      </w:pPr>
      <w:r w:rsidRPr="0025781A">
        <w:rPr>
          <w:rFonts w:ascii="Open Sans" w:hAnsi="Open Sans" w:cs="Open Sans"/>
          <w:b/>
          <w:sz w:val="20"/>
          <w:szCs w:val="20"/>
          <w:lang w:val="fr-FR"/>
        </w:rPr>
        <w:t>Une pièce d’identification nationale et la m</w:t>
      </w:r>
      <w:r w:rsidR="00B6700D" w:rsidRPr="0025781A">
        <w:rPr>
          <w:rFonts w:ascii="Open Sans" w:hAnsi="Open Sans" w:cs="Open Sans"/>
          <w:b/>
          <w:sz w:val="20"/>
          <w:szCs w:val="20"/>
          <w:lang w:val="fr-FR"/>
        </w:rPr>
        <w:t>atricule Fiscal</w:t>
      </w:r>
      <w:r w:rsidR="00B6700D" w:rsidRPr="0025781A">
        <w:rPr>
          <w:rFonts w:ascii="Open Sans" w:hAnsi="Open Sans" w:cs="Open Sans"/>
          <w:sz w:val="20"/>
          <w:szCs w:val="20"/>
          <w:lang w:val="fr-FR"/>
        </w:rPr>
        <w:t xml:space="preserve"> pour les consultants engagés. </w:t>
      </w:r>
      <w:r w:rsidR="00B6700D" w:rsidRPr="0025781A">
        <w:rPr>
          <w:rFonts w:ascii="Open Sans" w:hAnsi="Open Sans" w:cs="Open Sans"/>
          <w:b/>
          <w:sz w:val="20"/>
          <w:szCs w:val="20"/>
          <w:lang w:val="fr-FR"/>
        </w:rPr>
        <w:t>Les documents administratifs</w:t>
      </w:r>
      <w:r w:rsidR="00B6700D" w:rsidRPr="0025781A">
        <w:rPr>
          <w:rFonts w:ascii="Open Sans" w:hAnsi="Open Sans" w:cs="Open Sans"/>
          <w:sz w:val="20"/>
          <w:szCs w:val="20"/>
          <w:lang w:val="fr-FR"/>
        </w:rPr>
        <w:t xml:space="preserve"> (Patente pour l’exercice en cours, matricule fiscale, etc…) pour les firmes de consultation</w:t>
      </w:r>
      <w:r w:rsidRPr="0025781A">
        <w:rPr>
          <w:rFonts w:ascii="Open Sans" w:hAnsi="Open Sans" w:cs="Open Sans"/>
          <w:sz w:val="20"/>
          <w:szCs w:val="20"/>
          <w:lang w:val="fr-FR"/>
        </w:rPr>
        <w:t xml:space="preserve"> et l’identification du Consultant en Chef </w:t>
      </w:r>
      <w:r w:rsidR="00E31DDB" w:rsidRPr="0025781A">
        <w:rPr>
          <w:rFonts w:ascii="Open Sans" w:hAnsi="Open Sans" w:cs="Open Sans"/>
          <w:sz w:val="20"/>
          <w:szCs w:val="20"/>
          <w:lang w:val="fr-FR"/>
        </w:rPr>
        <w:t xml:space="preserve">avec les pièces requises pour les consultants </w:t>
      </w:r>
      <w:proofErr w:type="gramStart"/>
      <w:r w:rsidR="00E31DDB" w:rsidRPr="0025781A">
        <w:rPr>
          <w:rFonts w:ascii="Open Sans" w:hAnsi="Open Sans" w:cs="Open Sans"/>
          <w:sz w:val="20"/>
          <w:szCs w:val="20"/>
          <w:lang w:val="fr-FR"/>
        </w:rPr>
        <w:t>engagés</w:t>
      </w:r>
      <w:r w:rsidRPr="0025781A">
        <w:rPr>
          <w:rFonts w:ascii="Open Sans" w:hAnsi="Open Sans" w:cs="Open Sans"/>
          <w:sz w:val="20"/>
          <w:szCs w:val="20"/>
          <w:lang w:val="fr-FR"/>
        </w:rPr>
        <w:t>;</w:t>
      </w:r>
      <w:proofErr w:type="gramEnd"/>
    </w:p>
    <w:p w14:paraId="21247814" w14:textId="77777777" w:rsidR="006C31CF" w:rsidRPr="0025781A" w:rsidRDefault="006C31CF" w:rsidP="006C31CF">
      <w:pPr>
        <w:pStyle w:val="Header"/>
        <w:tabs>
          <w:tab w:val="clear" w:pos="4680"/>
          <w:tab w:val="clear" w:pos="9360"/>
          <w:tab w:val="left" w:pos="360"/>
        </w:tabs>
        <w:ind w:left="360"/>
        <w:jc w:val="both"/>
        <w:rPr>
          <w:rFonts w:ascii="Open Sans" w:hAnsi="Open Sans" w:cs="Open Sans"/>
          <w:sz w:val="20"/>
          <w:szCs w:val="20"/>
          <w:lang w:val="fr-FR"/>
        </w:rPr>
      </w:pPr>
    </w:p>
    <w:p w14:paraId="21247815" w14:textId="77777777" w:rsidR="0082281D" w:rsidRPr="0025781A" w:rsidRDefault="00E66F12" w:rsidP="00A24866">
      <w:pPr>
        <w:pStyle w:val="Header"/>
        <w:numPr>
          <w:ilvl w:val="0"/>
          <w:numId w:val="3"/>
        </w:numPr>
        <w:tabs>
          <w:tab w:val="clear" w:pos="4680"/>
          <w:tab w:val="clear" w:pos="9360"/>
          <w:tab w:val="left" w:pos="360"/>
        </w:tabs>
        <w:ind w:hanging="270"/>
        <w:jc w:val="both"/>
        <w:rPr>
          <w:rFonts w:ascii="Open Sans" w:hAnsi="Open Sans" w:cs="Open Sans"/>
          <w:sz w:val="20"/>
          <w:szCs w:val="20"/>
          <w:lang w:val="fr-FR"/>
        </w:rPr>
      </w:pPr>
      <w:r w:rsidRPr="0025781A">
        <w:rPr>
          <w:rFonts w:ascii="Open Sans" w:hAnsi="Open Sans" w:cs="Open Sans"/>
          <w:b/>
          <w:sz w:val="20"/>
          <w:szCs w:val="20"/>
          <w:lang w:val="fr-FR"/>
        </w:rPr>
        <w:t>C</w:t>
      </w:r>
      <w:r w:rsidR="002305AC" w:rsidRPr="0025781A">
        <w:rPr>
          <w:rFonts w:ascii="Open Sans" w:hAnsi="Open Sans" w:cs="Open Sans"/>
          <w:b/>
          <w:sz w:val="20"/>
          <w:szCs w:val="20"/>
          <w:lang w:val="fr-FR"/>
        </w:rPr>
        <w:t>urriculum Vitae détaill</w:t>
      </w:r>
      <w:r w:rsidR="00EC0321" w:rsidRPr="0025781A">
        <w:rPr>
          <w:rFonts w:ascii="Open Sans" w:hAnsi="Open Sans" w:cs="Open Sans"/>
          <w:b/>
          <w:sz w:val="20"/>
          <w:szCs w:val="20"/>
          <w:lang w:val="fr-FR"/>
        </w:rPr>
        <w:t xml:space="preserve">é </w:t>
      </w:r>
      <w:r w:rsidR="002E1E23" w:rsidRPr="0025781A">
        <w:rPr>
          <w:rFonts w:ascii="Open Sans" w:hAnsi="Open Sans" w:cs="Open Sans"/>
          <w:b/>
          <w:sz w:val="20"/>
          <w:szCs w:val="20"/>
          <w:lang w:val="fr-FR"/>
        </w:rPr>
        <w:t>de tout</w:t>
      </w:r>
      <w:r w:rsidR="002305AC" w:rsidRPr="0025781A">
        <w:rPr>
          <w:rFonts w:ascii="Open Sans" w:hAnsi="Open Sans" w:cs="Open Sans"/>
          <w:b/>
          <w:sz w:val="20"/>
          <w:szCs w:val="20"/>
          <w:lang w:val="fr-FR"/>
        </w:rPr>
        <w:t xml:space="preserve"> concerné </w:t>
      </w:r>
      <w:r w:rsidR="00EC0321" w:rsidRPr="0025781A">
        <w:rPr>
          <w:rFonts w:ascii="Open Sans" w:hAnsi="Open Sans" w:cs="Open Sans"/>
          <w:b/>
          <w:sz w:val="20"/>
          <w:szCs w:val="20"/>
          <w:lang w:val="fr-FR"/>
        </w:rPr>
        <w:t xml:space="preserve">joint des diplômes, </w:t>
      </w:r>
      <w:r w:rsidR="0082281D" w:rsidRPr="0025781A">
        <w:rPr>
          <w:rFonts w:ascii="Open Sans" w:hAnsi="Open Sans" w:cs="Open Sans"/>
          <w:b/>
          <w:sz w:val="20"/>
          <w:szCs w:val="20"/>
          <w:lang w:val="fr-FR"/>
        </w:rPr>
        <w:t xml:space="preserve">autres certifications et </w:t>
      </w:r>
      <w:r w:rsidR="00B6700D" w:rsidRPr="0025781A">
        <w:rPr>
          <w:rFonts w:ascii="Open Sans" w:hAnsi="Open Sans" w:cs="Open Sans"/>
          <w:b/>
          <w:sz w:val="20"/>
          <w:szCs w:val="20"/>
          <w:lang w:val="fr-FR"/>
        </w:rPr>
        <w:t xml:space="preserve">tous </w:t>
      </w:r>
      <w:r w:rsidR="00FB5FF7" w:rsidRPr="0025781A">
        <w:rPr>
          <w:rFonts w:ascii="Open Sans" w:hAnsi="Open Sans" w:cs="Open Sans"/>
          <w:b/>
          <w:sz w:val="20"/>
          <w:szCs w:val="20"/>
          <w:lang w:val="fr-FR"/>
        </w:rPr>
        <w:t>documents</w:t>
      </w:r>
      <w:r w:rsidR="009F7A05" w:rsidRPr="0025781A">
        <w:rPr>
          <w:rFonts w:ascii="Open Sans" w:hAnsi="Open Sans" w:cs="Open Sans"/>
          <w:b/>
          <w:sz w:val="20"/>
          <w:szCs w:val="20"/>
          <w:lang w:val="fr-FR"/>
        </w:rPr>
        <w:t xml:space="preserve"> et/</w:t>
      </w:r>
      <w:r w:rsidR="00FB5FF7" w:rsidRPr="0025781A">
        <w:rPr>
          <w:rFonts w:ascii="Open Sans" w:hAnsi="Open Sans" w:cs="Open Sans"/>
          <w:b/>
          <w:sz w:val="20"/>
          <w:szCs w:val="20"/>
          <w:lang w:val="fr-FR"/>
        </w:rPr>
        <w:t>ou attestations</w:t>
      </w:r>
      <w:r w:rsidR="00FB5FF7" w:rsidRPr="0025781A">
        <w:rPr>
          <w:rFonts w:ascii="Open Sans" w:hAnsi="Open Sans" w:cs="Open Sans"/>
          <w:sz w:val="20"/>
          <w:szCs w:val="20"/>
          <w:lang w:val="fr-FR"/>
        </w:rPr>
        <w:t xml:space="preserve"> </w:t>
      </w:r>
      <w:r w:rsidR="0082281D" w:rsidRPr="0025781A">
        <w:rPr>
          <w:rFonts w:ascii="Open Sans" w:hAnsi="Open Sans" w:cs="Open Sans"/>
          <w:sz w:val="20"/>
          <w:szCs w:val="20"/>
          <w:lang w:val="fr-FR"/>
        </w:rPr>
        <w:t>en rap</w:t>
      </w:r>
      <w:r w:rsidR="00B6700D" w:rsidRPr="0025781A">
        <w:rPr>
          <w:rFonts w:ascii="Open Sans" w:hAnsi="Open Sans" w:cs="Open Sans"/>
          <w:sz w:val="20"/>
          <w:szCs w:val="20"/>
          <w:lang w:val="fr-FR"/>
        </w:rPr>
        <w:t xml:space="preserve">port avec les exigences </w:t>
      </w:r>
      <w:r w:rsidR="00A74F42" w:rsidRPr="0025781A">
        <w:rPr>
          <w:rFonts w:ascii="Open Sans" w:hAnsi="Open Sans" w:cs="Open Sans"/>
          <w:sz w:val="20"/>
          <w:szCs w:val="20"/>
          <w:lang w:val="fr-FR"/>
        </w:rPr>
        <w:t>des</w:t>
      </w:r>
      <w:r w:rsidR="00B6700D" w:rsidRPr="0025781A">
        <w:rPr>
          <w:rFonts w:ascii="Open Sans" w:hAnsi="Open Sans" w:cs="Open Sans"/>
          <w:sz w:val="20"/>
          <w:szCs w:val="20"/>
          <w:lang w:val="fr-FR"/>
        </w:rPr>
        <w:t xml:space="preserve"> TDR</w:t>
      </w:r>
      <w:r w:rsidR="002305AC" w:rsidRPr="0025781A">
        <w:rPr>
          <w:rFonts w:ascii="Open Sans" w:hAnsi="Open Sans" w:cs="Open Sans"/>
          <w:sz w:val="20"/>
          <w:szCs w:val="20"/>
          <w:lang w:val="fr-FR"/>
        </w:rPr>
        <w:t xml:space="preserve"> et le profil recherché</w:t>
      </w:r>
      <w:r w:rsidR="000457ED" w:rsidRPr="0025781A">
        <w:rPr>
          <w:rFonts w:ascii="Open Sans" w:hAnsi="Open Sans" w:cs="Open Sans"/>
          <w:sz w:val="20"/>
          <w:szCs w:val="20"/>
          <w:lang w:val="fr-FR"/>
        </w:rPr>
        <w:t>, tels que</w:t>
      </w:r>
      <w:r w:rsidR="00B6700D" w:rsidRPr="0025781A">
        <w:rPr>
          <w:rFonts w:ascii="Open Sans" w:hAnsi="Open Sans" w:cs="Open Sans"/>
          <w:sz w:val="20"/>
          <w:szCs w:val="20"/>
          <w:lang w:val="fr-FR"/>
        </w:rPr>
        <w:t> :</w:t>
      </w:r>
    </w:p>
    <w:p w14:paraId="21247816" w14:textId="77777777" w:rsidR="00B6700D" w:rsidRPr="0025781A" w:rsidRDefault="00B6700D" w:rsidP="00E66F12">
      <w:pPr>
        <w:pStyle w:val="Header"/>
        <w:numPr>
          <w:ilvl w:val="2"/>
          <w:numId w:val="3"/>
        </w:numPr>
        <w:tabs>
          <w:tab w:val="clear" w:pos="4680"/>
          <w:tab w:val="clear" w:pos="9360"/>
          <w:tab w:val="left" w:pos="540"/>
        </w:tabs>
        <w:ind w:left="540" w:hanging="90"/>
        <w:jc w:val="both"/>
        <w:rPr>
          <w:rFonts w:ascii="Open Sans" w:hAnsi="Open Sans" w:cs="Open Sans"/>
          <w:sz w:val="20"/>
          <w:szCs w:val="20"/>
          <w:lang w:val="fr-FR"/>
        </w:rPr>
      </w:pPr>
      <w:r w:rsidRPr="0025781A">
        <w:rPr>
          <w:rFonts w:ascii="Open Sans" w:hAnsi="Open Sans" w:cs="Open Sans"/>
          <w:sz w:val="20"/>
          <w:szCs w:val="20"/>
          <w:lang w:val="fr-FR"/>
        </w:rPr>
        <w:t>Médecin ayant au moins une maitrise en santé publique avec une expérience d’au moins 10 ans dans ce type de consultation ;</w:t>
      </w:r>
    </w:p>
    <w:p w14:paraId="21247817" w14:textId="77777777" w:rsidR="00B6700D" w:rsidRPr="0025781A" w:rsidRDefault="00B6700D" w:rsidP="00E66F12">
      <w:pPr>
        <w:pStyle w:val="Header"/>
        <w:numPr>
          <w:ilvl w:val="2"/>
          <w:numId w:val="3"/>
        </w:numPr>
        <w:tabs>
          <w:tab w:val="clear" w:pos="4680"/>
          <w:tab w:val="clear" w:pos="9360"/>
          <w:tab w:val="left" w:pos="540"/>
        </w:tabs>
        <w:ind w:left="540" w:hanging="90"/>
        <w:jc w:val="both"/>
        <w:rPr>
          <w:rFonts w:ascii="Open Sans" w:hAnsi="Open Sans" w:cs="Open Sans"/>
          <w:sz w:val="20"/>
          <w:szCs w:val="20"/>
          <w:lang w:val="fr-FR"/>
        </w:rPr>
      </w:pPr>
      <w:r w:rsidRPr="0025781A">
        <w:rPr>
          <w:rFonts w:ascii="Open Sans" w:hAnsi="Open Sans" w:cs="Open Sans"/>
          <w:sz w:val="20"/>
          <w:szCs w:val="20"/>
          <w:lang w:val="fr-FR"/>
        </w:rPr>
        <w:t xml:space="preserve">Connaissance du système de santé </w:t>
      </w:r>
      <w:r w:rsidR="009F7A05" w:rsidRPr="0025781A">
        <w:rPr>
          <w:rFonts w:ascii="Open Sans" w:hAnsi="Open Sans" w:cs="Open Sans"/>
          <w:sz w:val="20"/>
          <w:szCs w:val="20"/>
          <w:lang w:val="fr-FR"/>
        </w:rPr>
        <w:t>h</w:t>
      </w:r>
      <w:r w:rsidRPr="0025781A">
        <w:rPr>
          <w:rFonts w:ascii="Open Sans" w:hAnsi="Open Sans" w:cs="Open Sans"/>
          <w:sz w:val="20"/>
          <w:szCs w:val="20"/>
          <w:lang w:val="fr-FR"/>
        </w:rPr>
        <w:t>aïtien, expérience dans le VIH serait un atout ;</w:t>
      </w:r>
    </w:p>
    <w:p w14:paraId="21247818" w14:textId="77777777" w:rsidR="00B6700D" w:rsidRPr="0025781A" w:rsidRDefault="00B6700D" w:rsidP="00E66F12">
      <w:pPr>
        <w:pStyle w:val="Header"/>
        <w:numPr>
          <w:ilvl w:val="2"/>
          <w:numId w:val="3"/>
        </w:numPr>
        <w:tabs>
          <w:tab w:val="clear" w:pos="4680"/>
          <w:tab w:val="clear" w:pos="9360"/>
          <w:tab w:val="left" w:pos="540"/>
        </w:tabs>
        <w:ind w:left="540" w:hanging="90"/>
        <w:jc w:val="both"/>
        <w:rPr>
          <w:rFonts w:ascii="Open Sans" w:hAnsi="Open Sans" w:cs="Open Sans"/>
          <w:sz w:val="20"/>
          <w:szCs w:val="20"/>
          <w:lang w:val="fr-FR"/>
        </w:rPr>
      </w:pPr>
      <w:r w:rsidRPr="0025781A">
        <w:rPr>
          <w:rFonts w:ascii="Open Sans" w:hAnsi="Open Sans" w:cs="Open Sans"/>
          <w:sz w:val="20"/>
          <w:szCs w:val="20"/>
          <w:lang w:val="fr-FR"/>
        </w:rPr>
        <w:t xml:space="preserve">Expérience </w:t>
      </w:r>
      <w:r w:rsidR="002C37C4" w:rsidRPr="0025781A">
        <w:rPr>
          <w:rFonts w:ascii="Open Sans" w:hAnsi="Open Sans" w:cs="Open Sans"/>
          <w:sz w:val="20"/>
          <w:szCs w:val="20"/>
          <w:lang w:val="fr-FR"/>
        </w:rPr>
        <w:t xml:space="preserve">de travail avec le MSPP </w:t>
      </w:r>
      <w:r w:rsidRPr="0025781A">
        <w:rPr>
          <w:rFonts w:ascii="Open Sans" w:hAnsi="Open Sans" w:cs="Open Sans"/>
          <w:sz w:val="20"/>
          <w:szCs w:val="20"/>
          <w:lang w:val="fr-FR"/>
        </w:rPr>
        <w:t>serait un atout</w:t>
      </w:r>
    </w:p>
    <w:p w14:paraId="21247819" w14:textId="77777777" w:rsidR="009B7AD1" w:rsidRPr="0025781A" w:rsidRDefault="00740457" w:rsidP="00E66F12">
      <w:pPr>
        <w:pStyle w:val="Header"/>
        <w:numPr>
          <w:ilvl w:val="2"/>
          <w:numId w:val="3"/>
        </w:numPr>
        <w:tabs>
          <w:tab w:val="clear" w:pos="4680"/>
          <w:tab w:val="clear" w:pos="9360"/>
          <w:tab w:val="left" w:pos="180"/>
          <w:tab w:val="left" w:pos="540"/>
        </w:tabs>
        <w:ind w:left="540" w:hanging="90"/>
        <w:jc w:val="both"/>
        <w:rPr>
          <w:rFonts w:ascii="Open Sans" w:hAnsi="Open Sans" w:cs="Open Sans"/>
          <w:sz w:val="20"/>
          <w:szCs w:val="20"/>
          <w:lang w:val="fr-FR"/>
        </w:rPr>
      </w:pPr>
      <w:r w:rsidRPr="0025781A">
        <w:rPr>
          <w:rFonts w:ascii="Open Sans" w:hAnsi="Open Sans" w:cs="Open Sans"/>
          <w:sz w:val="20"/>
          <w:szCs w:val="20"/>
          <w:lang w:val="fr-FR"/>
        </w:rPr>
        <w:t>E</w:t>
      </w:r>
      <w:r w:rsidR="009B7AD1" w:rsidRPr="0025781A">
        <w:rPr>
          <w:rFonts w:ascii="Open Sans" w:hAnsi="Open Sans" w:cs="Open Sans"/>
          <w:sz w:val="20"/>
          <w:szCs w:val="20"/>
          <w:lang w:val="fr-FR"/>
        </w:rPr>
        <w:t>xpérience démontré dans l’élaboration de normes, guide</w:t>
      </w:r>
      <w:r w:rsidRPr="0025781A">
        <w:rPr>
          <w:rFonts w:ascii="Open Sans" w:hAnsi="Open Sans" w:cs="Open Sans"/>
          <w:sz w:val="20"/>
          <w:szCs w:val="20"/>
          <w:lang w:val="fr-FR"/>
        </w:rPr>
        <w:t>s</w:t>
      </w:r>
      <w:r w:rsidR="009B7AD1" w:rsidRPr="0025781A">
        <w:rPr>
          <w:rFonts w:ascii="Open Sans" w:hAnsi="Open Sans" w:cs="Open Sans"/>
          <w:sz w:val="20"/>
          <w:szCs w:val="20"/>
          <w:lang w:val="fr-FR"/>
        </w:rPr>
        <w:t xml:space="preserve"> et algorithmes</w:t>
      </w:r>
    </w:p>
    <w:p w14:paraId="2124781A" w14:textId="77777777" w:rsidR="009B7AD1" w:rsidRPr="0025781A" w:rsidRDefault="00740457" w:rsidP="00E66F12">
      <w:pPr>
        <w:pStyle w:val="Header"/>
        <w:numPr>
          <w:ilvl w:val="2"/>
          <w:numId w:val="3"/>
        </w:numPr>
        <w:tabs>
          <w:tab w:val="clear" w:pos="4680"/>
          <w:tab w:val="clear" w:pos="9360"/>
          <w:tab w:val="left" w:pos="180"/>
          <w:tab w:val="left" w:pos="540"/>
        </w:tabs>
        <w:ind w:left="540" w:hanging="90"/>
        <w:jc w:val="both"/>
        <w:rPr>
          <w:rFonts w:ascii="Open Sans" w:hAnsi="Open Sans" w:cs="Open Sans"/>
          <w:sz w:val="20"/>
          <w:szCs w:val="20"/>
          <w:lang w:val="fr-FR"/>
        </w:rPr>
      </w:pPr>
      <w:r w:rsidRPr="0025781A">
        <w:rPr>
          <w:rFonts w:ascii="Open Sans" w:hAnsi="Open Sans" w:cs="Open Sans"/>
          <w:sz w:val="20"/>
          <w:szCs w:val="20"/>
          <w:lang w:val="fr-FR"/>
        </w:rPr>
        <w:t>E</w:t>
      </w:r>
      <w:r w:rsidR="009B7AD1" w:rsidRPr="0025781A">
        <w:rPr>
          <w:rFonts w:ascii="Open Sans" w:hAnsi="Open Sans" w:cs="Open Sans"/>
          <w:sz w:val="20"/>
          <w:szCs w:val="20"/>
          <w:lang w:val="fr-FR"/>
        </w:rPr>
        <w:t>xpériences du consultant ou de la firme pour conduire ce genre de travaux ;</w:t>
      </w:r>
    </w:p>
    <w:p w14:paraId="2124781B" w14:textId="77777777" w:rsidR="004309DE" w:rsidRPr="0025781A" w:rsidRDefault="004309DE" w:rsidP="006C31CF">
      <w:pPr>
        <w:pStyle w:val="Header"/>
        <w:tabs>
          <w:tab w:val="clear" w:pos="4680"/>
          <w:tab w:val="clear" w:pos="9360"/>
          <w:tab w:val="left" w:pos="180"/>
          <w:tab w:val="left" w:pos="540"/>
        </w:tabs>
        <w:ind w:left="540"/>
        <w:jc w:val="both"/>
        <w:rPr>
          <w:rFonts w:ascii="Open Sans" w:hAnsi="Open Sans" w:cs="Open Sans"/>
          <w:sz w:val="20"/>
          <w:szCs w:val="20"/>
          <w:lang w:val="fr-FR"/>
        </w:rPr>
      </w:pPr>
    </w:p>
    <w:p w14:paraId="2124781C" w14:textId="77777777" w:rsidR="0082281D" w:rsidRPr="0025781A" w:rsidRDefault="0082281D" w:rsidP="00A24866">
      <w:pPr>
        <w:pStyle w:val="Header"/>
        <w:numPr>
          <w:ilvl w:val="0"/>
          <w:numId w:val="3"/>
        </w:numPr>
        <w:tabs>
          <w:tab w:val="clear" w:pos="4680"/>
          <w:tab w:val="clear" w:pos="9360"/>
          <w:tab w:val="left" w:pos="360"/>
          <w:tab w:val="left" w:pos="630"/>
        </w:tabs>
        <w:ind w:hanging="270"/>
        <w:jc w:val="both"/>
        <w:rPr>
          <w:rFonts w:ascii="Open Sans" w:hAnsi="Open Sans" w:cs="Open Sans"/>
          <w:b/>
          <w:sz w:val="20"/>
          <w:szCs w:val="20"/>
          <w:lang w:val="fr-FR"/>
        </w:rPr>
      </w:pPr>
      <w:r w:rsidRPr="0025781A">
        <w:rPr>
          <w:rFonts w:ascii="Open Sans" w:hAnsi="Open Sans" w:cs="Open Sans"/>
          <w:b/>
          <w:sz w:val="20"/>
          <w:szCs w:val="20"/>
          <w:lang w:val="fr-FR"/>
        </w:rPr>
        <w:t>La proposition technique comprendra :</w:t>
      </w:r>
    </w:p>
    <w:p w14:paraId="2124781D" w14:textId="77777777" w:rsidR="00A65E90" w:rsidRPr="0025781A" w:rsidRDefault="00A65E90" w:rsidP="00E66F12">
      <w:pPr>
        <w:pStyle w:val="Header"/>
        <w:numPr>
          <w:ilvl w:val="0"/>
          <w:numId w:val="5"/>
        </w:numPr>
        <w:tabs>
          <w:tab w:val="clear" w:pos="4680"/>
          <w:tab w:val="clear" w:pos="9360"/>
          <w:tab w:val="left" w:pos="540"/>
        </w:tabs>
        <w:ind w:left="540" w:hanging="90"/>
        <w:jc w:val="both"/>
        <w:rPr>
          <w:rFonts w:ascii="Open Sans" w:hAnsi="Open Sans" w:cs="Open Sans"/>
          <w:sz w:val="20"/>
          <w:szCs w:val="20"/>
          <w:lang w:val="fr-FR"/>
        </w:rPr>
      </w:pPr>
      <w:r w:rsidRPr="0025781A">
        <w:rPr>
          <w:rFonts w:ascii="Open Sans" w:hAnsi="Open Sans" w:cs="Open Sans"/>
          <w:sz w:val="20"/>
          <w:szCs w:val="20"/>
          <w:lang w:val="fr-FR"/>
        </w:rPr>
        <w:t xml:space="preserve">La compréhension de la mission ; </w:t>
      </w:r>
    </w:p>
    <w:p w14:paraId="2124781E" w14:textId="77777777" w:rsidR="00A65E90" w:rsidRPr="0025781A" w:rsidRDefault="00A65E90" w:rsidP="00E66F12">
      <w:pPr>
        <w:pStyle w:val="Header"/>
        <w:numPr>
          <w:ilvl w:val="0"/>
          <w:numId w:val="5"/>
        </w:numPr>
        <w:tabs>
          <w:tab w:val="clear" w:pos="4680"/>
          <w:tab w:val="clear" w:pos="9360"/>
          <w:tab w:val="left" w:pos="540"/>
        </w:tabs>
        <w:ind w:left="540" w:hanging="90"/>
        <w:jc w:val="both"/>
        <w:rPr>
          <w:rFonts w:ascii="Open Sans" w:hAnsi="Open Sans" w:cs="Open Sans"/>
          <w:sz w:val="20"/>
          <w:szCs w:val="20"/>
          <w:lang w:val="fr-FR"/>
        </w:rPr>
      </w:pPr>
      <w:r w:rsidRPr="0025781A">
        <w:rPr>
          <w:rFonts w:ascii="Open Sans" w:hAnsi="Open Sans" w:cs="Open Sans"/>
          <w:sz w:val="20"/>
          <w:szCs w:val="20"/>
          <w:lang w:val="fr-FR"/>
        </w:rPr>
        <w:t>La méthodologie de mise en œuvre proposée :</w:t>
      </w:r>
    </w:p>
    <w:p w14:paraId="2124781F" w14:textId="77777777" w:rsidR="00740457" w:rsidRPr="0025781A" w:rsidRDefault="00740457" w:rsidP="00E66F12">
      <w:pPr>
        <w:pStyle w:val="NoSpacing"/>
        <w:numPr>
          <w:ilvl w:val="0"/>
          <w:numId w:val="5"/>
        </w:numPr>
        <w:tabs>
          <w:tab w:val="left" w:pos="180"/>
          <w:tab w:val="left" w:pos="540"/>
        </w:tabs>
        <w:ind w:left="540" w:hanging="90"/>
        <w:jc w:val="both"/>
        <w:rPr>
          <w:rFonts w:ascii="Open Sans" w:hAnsi="Open Sans" w:cs="Open Sans"/>
          <w:sz w:val="20"/>
          <w:szCs w:val="20"/>
        </w:rPr>
      </w:pPr>
      <w:r w:rsidRPr="0025781A">
        <w:rPr>
          <w:rFonts w:ascii="Open Sans" w:hAnsi="Open Sans" w:cs="Open Sans"/>
          <w:sz w:val="20"/>
          <w:szCs w:val="20"/>
        </w:rPr>
        <w:t xml:space="preserve">Le délai de réalisation et calendrier de travail </w:t>
      </w:r>
    </w:p>
    <w:p w14:paraId="21247820" w14:textId="77777777" w:rsidR="009B7AD1" w:rsidRPr="0025781A" w:rsidRDefault="009B7AD1" w:rsidP="00E66F12">
      <w:pPr>
        <w:pStyle w:val="ListParagraph"/>
        <w:numPr>
          <w:ilvl w:val="0"/>
          <w:numId w:val="5"/>
        </w:numPr>
        <w:tabs>
          <w:tab w:val="left" w:pos="180"/>
          <w:tab w:val="left" w:pos="540"/>
        </w:tabs>
        <w:spacing w:after="0" w:line="240" w:lineRule="auto"/>
        <w:ind w:left="540" w:hanging="90"/>
        <w:jc w:val="both"/>
        <w:rPr>
          <w:rFonts w:ascii="Open Sans" w:hAnsi="Open Sans" w:cs="Open Sans"/>
          <w:sz w:val="20"/>
          <w:szCs w:val="20"/>
          <w:lang w:val="fr-FR"/>
        </w:rPr>
      </w:pPr>
      <w:r w:rsidRPr="0025781A">
        <w:rPr>
          <w:rFonts w:ascii="Open Sans" w:hAnsi="Open Sans" w:cs="Open Sans"/>
          <w:sz w:val="20"/>
          <w:szCs w:val="20"/>
          <w:lang w:val="fr-FR"/>
        </w:rPr>
        <w:t>Liste d’institutions (publiques, privées, ONG, OI) ayant déjà bénéficié d’un tel service avec dates probables du service rendu et numéros de contact de ces institutions</w:t>
      </w:r>
    </w:p>
    <w:p w14:paraId="21247821" w14:textId="77777777" w:rsidR="009B7AD1" w:rsidRPr="0025781A" w:rsidRDefault="009B7AD1" w:rsidP="00E66F12">
      <w:pPr>
        <w:pStyle w:val="ListParagraph"/>
        <w:numPr>
          <w:ilvl w:val="0"/>
          <w:numId w:val="5"/>
        </w:numPr>
        <w:tabs>
          <w:tab w:val="left" w:pos="180"/>
          <w:tab w:val="left" w:pos="540"/>
        </w:tabs>
        <w:spacing w:after="0" w:line="240" w:lineRule="auto"/>
        <w:ind w:left="540" w:hanging="90"/>
        <w:jc w:val="both"/>
        <w:rPr>
          <w:rFonts w:ascii="Open Sans" w:hAnsi="Open Sans" w:cs="Open Sans"/>
          <w:sz w:val="20"/>
          <w:szCs w:val="20"/>
          <w:lang w:val="fr-FR"/>
        </w:rPr>
      </w:pPr>
      <w:r w:rsidRPr="0025781A">
        <w:rPr>
          <w:rFonts w:ascii="Open Sans" w:hAnsi="Open Sans" w:cs="Open Sans"/>
          <w:sz w:val="20"/>
          <w:szCs w:val="20"/>
          <w:lang w:val="fr-FR"/>
        </w:rPr>
        <w:t>Une attestation de satisfaction de service auprès d’Institutions ayant déjà bénéficié des services de l’Entreprise serait un atout</w:t>
      </w:r>
    </w:p>
    <w:p w14:paraId="21247822" w14:textId="77777777" w:rsidR="0025781A" w:rsidRPr="0025781A" w:rsidRDefault="0025781A" w:rsidP="006C31CF">
      <w:pPr>
        <w:tabs>
          <w:tab w:val="left" w:pos="180"/>
          <w:tab w:val="left" w:pos="540"/>
        </w:tabs>
        <w:spacing w:after="0" w:line="240" w:lineRule="auto"/>
        <w:jc w:val="both"/>
        <w:rPr>
          <w:rFonts w:ascii="Open Sans" w:eastAsiaTheme="minorEastAsia" w:hAnsi="Open Sans" w:cs="Open Sans"/>
          <w:sz w:val="20"/>
          <w:szCs w:val="20"/>
        </w:rPr>
      </w:pPr>
    </w:p>
    <w:p w14:paraId="21247823" w14:textId="77777777" w:rsidR="006C31CF" w:rsidRPr="005F6E90" w:rsidRDefault="00A74F42" w:rsidP="006C31CF">
      <w:pPr>
        <w:pStyle w:val="ListParagraph"/>
        <w:numPr>
          <w:ilvl w:val="0"/>
          <w:numId w:val="3"/>
        </w:numPr>
        <w:tabs>
          <w:tab w:val="left" w:pos="180"/>
          <w:tab w:val="left" w:pos="540"/>
        </w:tabs>
        <w:spacing w:after="0" w:line="240" w:lineRule="auto"/>
        <w:ind w:hanging="270"/>
        <w:jc w:val="both"/>
        <w:rPr>
          <w:rFonts w:ascii="Open Sans" w:hAnsi="Open Sans" w:cs="Open Sans"/>
          <w:sz w:val="20"/>
          <w:szCs w:val="20"/>
          <w:lang w:val="fr-FR"/>
        </w:rPr>
      </w:pPr>
      <w:r w:rsidRPr="005F6E90">
        <w:rPr>
          <w:rFonts w:ascii="Open Sans" w:hAnsi="Open Sans" w:cs="Open Sans"/>
          <w:b/>
          <w:bCs/>
          <w:sz w:val="20"/>
          <w:szCs w:val="20"/>
          <w:lang w:val="fr-FR"/>
        </w:rPr>
        <w:t xml:space="preserve">Les documents </w:t>
      </w:r>
      <w:r w:rsidRPr="0025781A">
        <w:rPr>
          <w:rFonts w:ascii="Open Sans" w:hAnsi="Open Sans" w:cs="Open Sans"/>
          <w:b/>
          <w:bCs/>
          <w:sz w:val="20"/>
          <w:szCs w:val="20"/>
          <w:lang w:val="fr-FR"/>
        </w:rPr>
        <w:t>administrati</w:t>
      </w:r>
      <w:r w:rsidR="006C31CF" w:rsidRPr="0025781A">
        <w:rPr>
          <w:rFonts w:ascii="Open Sans" w:hAnsi="Open Sans" w:cs="Open Sans"/>
          <w:b/>
          <w:bCs/>
          <w:sz w:val="20"/>
          <w:szCs w:val="20"/>
          <w:lang w:val="fr-FR"/>
        </w:rPr>
        <w:t>f</w:t>
      </w:r>
      <w:r w:rsidRPr="0025781A">
        <w:rPr>
          <w:rFonts w:ascii="Open Sans" w:hAnsi="Open Sans" w:cs="Open Sans"/>
          <w:b/>
          <w:bCs/>
          <w:sz w:val="20"/>
          <w:szCs w:val="20"/>
          <w:lang w:val="fr-FR"/>
        </w:rPr>
        <w:t>s</w:t>
      </w:r>
      <w:r w:rsidRPr="005F6E90">
        <w:rPr>
          <w:rFonts w:ascii="Open Sans" w:hAnsi="Open Sans" w:cs="Open Sans"/>
          <w:b/>
          <w:bCs/>
          <w:sz w:val="20"/>
          <w:szCs w:val="20"/>
          <w:lang w:val="fr-FR"/>
        </w:rPr>
        <w:t xml:space="preserve"> </w:t>
      </w:r>
      <w:r w:rsidRPr="005F6E90">
        <w:rPr>
          <w:rFonts w:ascii="Open Sans" w:hAnsi="Open Sans" w:cs="Open Sans"/>
          <w:bCs/>
          <w:sz w:val="20"/>
          <w:szCs w:val="20"/>
          <w:lang w:val="fr-FR"/>
        </w:rPr>
        <w:t>(</w:t>
      </w:r>
      <w:r w:rsidRPr="0025781A">
        <w:rPr>
          <w:rFonts w:ascii="Open Sans" w:hAnsi="Open Sans" w:cs="Open Sans"/>
          <w:bCs/>
          <w:sz w:val="20"/>
          <w:szCs w:val="20"/>
          <w:lang w:val="fr-FR"/>
        </w:rPr>
        <w:t>contrat</w:t>
      </w:r>
      <w:r w:rsidRPr="005F6E90">
        <w:rPr>
          <w:rFonts w:ascii="Open Sans" w:hAnsi="Open Sans" w:cs="Open Sans"/>
          <w:bCs/>
          <w:sz w:val="20"/>
          <w:szCs w:val="20"/>
          <w:lang w:val="fr-FR"/>
        </w:rPr>
        <w:t xml:space="preserve"> de </w:t>
      </w:r>
      <w:r w:rsidRPr="0025781A">
        <w:rPr>
          <w:rFonts w:ascii="Open Sans" w:hAnsi="Open Sans" w:cs="Open Sans"/>
          <w:bCs/>
          <w:sz w:val="20"/>
          <w:szCs w:val="20"/>
          <w:lang w:val="fr-FR"/>
        </w:rPr>
        <w:t>prestation</w:t>
      </w:r>
      <w:r w:rsidRPr="005F6E90">
        <w:rPr>
          <w:rFonts w:ascii="Open Sans" w:hAnsi="Open Sans" w:cs="Open Sans"/>
          <w:bCs/>
          <w:sz w:val="20"/>
          <w:szCs w:val="20"/>
          <w:lang w:val="fr-FR"/>
        </w:rPr>
        <w:t xml:space="preserve"> de services ou tout autre</w:t>
      </w:r>
      <w:r w:rsidR="005F6E90">
        <w:rPr>
          <w:rFonts w:ascii="Open Sans" w:hAnsi="Open Sans" w:cs="Open Sans"/>
          <w:bCs/>
          <w:sz w:val="20"/>
          <w:szCs w:val="20"/>
          <w:lang w:val="fr-FR"/>
        </w:rPr>
        <w:t xml:space="preserve"> document</w:t>
      </w:r>
      <w:r w:rsidRPr="005F6E90">
        <w:rPr>
          <w:rFonts w:ascii="Open Sans" w:hAnsi="Open Sans" w:cs="Open Sans"/>
          <w:bCs/>
          <w:sz w:val="20"/>
          <w:szCs w:val="20"/>
          <w:lang w:val="fr-FR"/>
        </w:rPr>
        <w:t xml:space="preserve">) démontrant la qualification et </w:t>
      </w:r>
      <w:r w:rsidRPr="0025781A">
        <w:rPr>
          <w:rFonts w:ascii="Open Sans" w:hAnsi="Open Sans" w:cs="Open Sans"/>
          <w:bCs/>
          <w:sz w:val="20"/>
          <w:szCs w:val="20"/>
          <w:lang w:val="fr-FR"/>
        </w:rPr>
        <w:t>l’expérience</w:t>
      </w:r>
      <w:r w:rsidRPr="005F6E90">
        <w:rPr>
          <w:rFonts w:ascii="Open Sans" w:hAnsi="Open Sans" w:cs="Open Sans"/>
          <w:bCs/>
          <w:sz w:val="20"/>
          <w:szCs w:val="20"/>
          <w:lang w:val="fr-FR"/>
        </w:rPr>
        <w:t xml:space="preserve"> du consultant dans </w:t>
      </w:r>
      <w:r w:rsidRPr="0068006A">
        <w:rPr>
          <w:rFonts w:ascii="Open Sans" w:hAnsi="Open Sans" w:cs="Open Sans"/>
          <w:bCs/>
          <w:sz w:val="20"/>
          <w:szCs w:val="20"/>
          <w:lang w:val="fr-FR"/>
        </w:rPr>
        <w:t>l’élaboration</w:t>
      </w:r>
      <w:r w:rsidRPr="005F6E90">
        <w:rPr>
          <w:rFonts w:ascii="Open Sans" w:hAnsi="Open Sans" w:cs="Open Sans"/>
          <w:bCs/>
          <w:sz w:val="20"/>
          <w:szCs w:val="20"/>
          <w:lang w:val="fr-FR"/>
        </w:rPr>
        <w:t xml:space="preserve"> et la </w:t>
      </w:r>
      <w:r w:rsidRPr="0068006A">
        <w:rPr>
          <w:rFonts w:ascii="Open Sans" w:hAnsi="Open Sans" w:cs="Open Sans"/>
          <w:bCs/>
          <w:sz w:val="20"/>
          <w:szCs w:val="20"/>
          <w:lang w:val="fr-FR"/>
        </w:rPr>
        <w:t>mise</w:t>
      </w:r>
      <w:r w:rsidRPr="005F6E90">
        <w:rPr>
          <w:rFonts w:ascii="Open Sans" w:hAnsi="Open Sans" w:cs="Open Sans"/>
          <w:bCs/>
          <w:sz w:val="20"/>
          <w:szCs w:val="20"/>
          <w:lang w:val="fr-FR"/>
        </w:rPr>
        <w:t xml:space="preserve"> en œuvre d’enquête</w:t>
      </w:r>
      <w:r w:rsidR="006C31CF" w:rsidRPr="005F6E90">
        <w:rPr>
          <w:rFonts w:ascii="Open Sans" w:hAnsi="Open Sans" w:cs="Open Sans"/>
          <w:bCs/>
          <w:sz w:val="20"/>
          <w:szCs w:val="20"/>
          <w:lang w:val="fr-FR"/>
        </w:rPr>
        <w:t xml:space="preserve">. </w:t>
      </w:r>
    </w:p>
    <w:p w14:paraId="21247824" w14:textId="77777777" w:rsidR="006C31CF" w:rsidRPr="005F6E90" w:rsidRDefault="006C31CF" w:rsidP="006C31CF">
      <w:pPr>
        <w:pStyle w:val="ListParagraph"/>
        <w:tabs>
          <w:tab w:val="left" w:pos="180"/>
          <w:tab w:val="left" w:pos="540"/>
        </w:tabs>
        <w:spacing w:after="0" w:line="240" w:lineRule="auto"/>
        <w:ind w:left="360"/>
        <w:jc w:val="both"/>
        <w:rPr>
          <w:rFonts w:ascii="Open Sans" w:hAnsi="Open Sans" w:cs="Open Sans"/>
          <w:sz w:val="20"/>
          <w:szCs w:val="20"/>
          <w:lang w:val="fr-FR"/>
        </w:rPr>
      </w:pPr>
    </w:p>
    <w:p w14:paraId="21247825" w14:textId="02057F29" w:rsidR="00A74F42" w:rsidRPr="005F6E90" w:rsidRDefault="00A74F42" w:rsidP="006C31CF">
      <w:pPr>
        <w:pStyle w:val="ListParagraph"/>
        <w:numPr>
          <w:ilvl w:val="0"/>
          <w:numId w:val="3"/>
        </w:numPr>
        <w:tabs>
          <w:tab w:val="left" w:pos="180"/>
          <w:tab w:val="left" w:pos="540"/>
        </w:tabs>
        <w:spacing w:after="0" w:line="240" w:lineRule="auto"/>
        <w:ind w:hanging="270"/>
        <w:jc w:val="both"/>
        <w:rPr>
          <w:rFonts w:ascii="Open Sans" w:hAnsi="Open Sans" w:cs="Open Sans"/>
          <w:sz w:val="20"/>
          <w:szCs w:val="20"/>
          <w:lang w:val="fr-FR"/>
        </w:rPr>
      </w:pPr>
      <w:r w:rsidRPr="0025781A">
        <w:rPr>
          <w:rFonts w:ascii="Open Sans" w:hAnsi="Open Sans" w:cs="Open Sans"/>
          <w:b/>
          <w:bCs/>
          <w:sz w:val="20"/>
          <w:szCs w:val="20"/>
          <w:lang w:val="fr-FR"/>
        </w:rPr>
        <w:t>Ebauche d</w:t>
      </w:r>
      <w:r w:rsidR="00BD2D90">
        <w:rPr>
          <w:rFonts w:ascii="Open Sans" w:hAnsi="Open Sans" w:cs="Open Sans"/>
          <w:b/>
          <w:bCs/>
          <w:sz w:val="20"/>
          <w:szCs w:val="20"/>
          <w:lang w:val="fr-FR"/>
        </w:rPr>
        <w:t>e</w:t>
      </w:r>
      <w:r w:rsidRPr="0025781A">
        <w:rPr>
          <w:rFonts w:ascii="Open Sans" w:hAnsi="Open Sans" w:cs="Open Sans"/>
          <w:b/>
          <w:bCs/>
          <w:sz w:val="20"/>
          <w:szCs w:val="20"/>
          <w:lang w:val="fr-FR"/>
        </w:rPr>
        <w:t xml:space="preserve"> document ou </w:t>
      </w:r>
      <w:r w:rsidR="006C31CF" w:rsidRPr="0025781A">
        <w:rPr>
          <w:rFonts w:ascii="Open Sans" w:hAnsi="Open Sans" w:cs="Open Sans"/>
          <w:b/>
          <w:bCs/>
          <w:sz w:val="20"/>
          <w:szCs w:val="20"/>
          <w:lang w:val="fr-FR"/>
        </w:rPr>
        <w:t xml:space="preserve">spécimen </w:t>
      </w:r>
      <w:r w:rsidRPr="0025781A">
        <w:rPr>
          <w:rFonts w:ascii="Open Sans" w:hAnsi="Open Sans" w:cs="Open Sans"/>
          <w:bCs/>
          <w:sz w:val="20"/>
          <w:szCs w:val="20"/>
          <w:lang w:val="fr-FR"/>
        </w:rPr>
        <w:t xml:space="preserve">de protocole et </w:t>
      </w:r>
      <w:r w:rsidR="006C31CF" w:rsidRPr="0025781A">
        <w:rPr>
          <w:rFonts w:ascii="Open Sans" w:hAnsi="Open Sans" w:cs="Open Sans"/>
          <w:bCs/>
          <w:sz w:val="20"/>
          <w:szCs w:val="20"/>
          <w:lang w:val="fr-FR"/>
        </w:rPr>
        <w:t>d’</w:t>
      </w:r>
      <w:r w:rsidRPr="0025781A">
        <w:rPr>
          <w:rFonts w:ascii="Open Sans" w:hAnsi="Open Sans" w:cs="Open Sans"/>
          <w:bCs/>
          <w:sz w:val="20"/>
          <w:szCs w:val="20"/>
          <w:lang w:val="fr-FR"/>
        </w:rPr>
        <w:t>algorithme réalisé dans le passé</w:t>
      </w:r>
    </w:p>
    <w:p w14:paraId="21247826" w14:textId="77777777" w:rsidR="00A74F42" w:rsidRPr="0025781A" w:rsidRDefault="00A74F42" w:rsidP="006C31CF">
      <w:pPr>
        <w:pStyle w:val="ListParagraph"/>
        <w:tabs>
          <w:tab w:val="left" w:pos="180"/>
          <w:tab w:val="left" w:pos="540"/>
        </w:tabs>
        <w:spacing w:after="0" w:line="240" w:lineRule="auto"/>
        <w:ind w:left="540"/>
        <w:jc w:val="both"/>
        <w:rPr>
          <w:rFonts w:ascii="Open Sans" w:hAnsi="Open Sans" w:cs="Open Sans"/>
          <w:sz w:val="20"/>
          <w:szCs w:val="20"/>
          <w:lang w:val="fr-FR"/>
        </w:rPr>
      </w:pPr>
    </w:p>
    <w:p w14:paraId="21247827" w14:textId="77777777" w:rsidR="00E66F12" w:rsidRPr="0025781A" w:rsidRDefault="00E66F12" w:rsidP="00A24866">
      <w:pPr>
        <w:pStyle w:val="Header"/>
        <w:numPr>
          <w:ilvl w:val="0"/>
          <w:numId w:val="3"/>
        </w:numPr>
        <w:tabs>
          <w:tab w:val="clear" w:pos="4680"/>
          <w:tab w:val="clear" w:pos="9360"/>
          <w:tab w:val="left" w:pos="360"/>
        </w:tabs>
        <w:ind w:left="270" w:hanging="180"/>
        <w:jc w:val="both"/>
        <w:rPr>
          <w:rFonts w:ascii="Open Sans" w:hAnsi="Open Sans" w:cs="Open Sans"/>
          <w:b/>
          <w:sz w:val="20"/>
          <w:szCs w:val="20"/>
          <w:lang w:val="fr-FR"/>
        </w:rPr>
      </w:pPr>
      <w:r w:rsidRPr="0025781A">
        <w:rPr>
          <w:rFonts w:ascii="Open Sans" w:hAnsi="Open Sans" w:cs="Open Sans"/>
          <w:b/>
          <w:sz w:val="20"/>
          <w:szCs w:val="20"/>
          <w:lang w:val="fr-FR"/>
        </w:rPr>
        <w:t>Une proposition financière :</w:t>
      </w:r>
    </w:p>
    <w:p w14:paraId="21247828" w14:textId="77777777" w:rsidR="00A65E90" w:rsidRPr="0025781A" w:rsidRDefault="00A65E90" w:rsidP="00AF18D3">
      <w:pPr>
        <w:pStyle w:val="Header"/>
        <w:tabs>
          <w:tab w:val="clear" w:pos="4680"/>
          <w:tab w:val="clear" w:pos="9360"/>
        </w:tabs>
        <w:ind w:left="450" w:hanging="360"/>
        <w:jc w:val="both"/>
        <w:rPr>
          <w:rFonts w:ascii="Open Sans" w:hAnsi="Open Sans" w:cs="Open Sans"/>
          <w:sz w:val="20"/>
          <w:szCs w:val="20"/>
          <w:lang w:val="fr-FR"/>
        </w:rPr>
      </w:pPr>
    </w:p>
    <w:p w14:paraId="21247829" w14:textId="77777777" w:rsidR="00DB0EFF" w:rsidRPr="0025781A" w:rsidRDefault="00DB0EFF" w:rsidP="00AF18D3">
      <w:pPr>
        <w:spacing w:after="0" w:line="240" w:lineRule="auto"/>
        <w:rPr>
          <w:rFonts w:ascii="Open Sans" w:hAnsi="Open Sans" w:cs="Open Sans"/>
          <w:b/>
          <w:color w:val="000000" w:themeColor="text1"/>
          <w:sz w:val="20"/>
          <w:szCs w:val="20"/>
        </w:rPr>
      </w:pPr>
      <w:r w:rsidRPr="0025781A">
        <w:rPr>
          <w:rFonts w:ascii="Open Sans" w:hAnsi="Open Sans" w:cs="Open Sans"/>
          <w:b/>
          <w:color w:val="000000" w:themeColor="text1"/>
          <w:sz w:val="20"/>
          <w:szCs w:val="20"/>
        </w:rPr>
        <w:lastRenderedPageBreak/>
        <w:t xml:space="preserve">Déposition de </w:t>
      </w:r>
      <w:r w:rsidR="00384318" w:rsidRPr="0025781A">
        <w:rPr>
          <w:rFonts w:ascii="Open Sans" w:hAnsi="Open Sans" w:cs="Open Sans"/>
          <w:b/>
          <w:color w:val="000000" w:themeColor="text1"/>
          <w:sz w:val="20"/>
          <w:szCs w:val="20"/>
        </w:rPr>
        <w:t>dossiers :</w:t>
      </w:r>
    </w:p>
    <w:p w14:paraId="2124782A" w14:textId="77777777" w:rsidR="00E31DDB" w:rsidRPr="0025781A" w:rsidRDefault="00E31DDB" w:rsidP="00E31DDB">
      <w:pPr>
        <w:pStyle w:val="NoSpacing"/>
        <w:jc w:val="both"/>
        <w:rPr>
          <w:rFonts w:ascii="Open Sans" w:hAnsi="Open Sans" w:cs="Open Sans"/>
          <w:sz w:val="20"/>
          <w:szCs w:val="20"/>
        </w:rPr>
      </w:pPr>
      <w:r w:rsidRPr="0025781A">
        <w:rPr>
          <w:rFonts w:ascii="Open Sans" w:hAnsi="Open Sans" w:cs="Open Sans"/>
          <w:sz w:val="20"/>
          <w:szCs w:val="20"/>
        </w:rPr>
        <w:t xml:space="preserve">Les intéressés </w:t>
      </w:r>
      <w:r w:rsidR="008766A4" w:rsidRPr="0025781A">
        <w:rPr>
          <w:rFonts w:ascii="Open Sans" w:hAnsi="Open Sans" w:cs="Open Sans"/>
          <w:sz w:val="20"/>
          <w:szCs w:val="20"/>
        </w:rPr>
        <w:t xml:space="preserve">peuvent </w:t>
      </w:r>
      <w:r w:rsidRPr="0025781A">
        <w:rPr>
          <w:rFonts w:ascii="Open Sans" w:hAnsi="Open Sans" w:cs="Open Sans"/>
          <w:sz w:val="20"/>
          <w:szCs w:val="20"/>
        </w:rPr>
        <w:t xml:space="preserve">soumettre leur </w:t>
      </w:r>
      <w:proofErr w:type="gramStart"/>
      <w:r w:rsidRPr="0025781A">
        <w:rPr>
          <w:rFonts w:ascii="Open Sans" w:hAnsi="Open Sans" w:cs="Open Sans"/>
          <w:sz w:val="20"/>
          <w:szCs w:val="20"/>
        </w:rPr>
        <w:t>proposition  en</w:t>
      </w:r>
      <w:proofErr w:type="gramEnd"/>
      <w:r w:rsidRPr="0025781A">
        <w:rPr>
          <w:rFonts w:ascii="Open Sans" w:hAnsi="Open Sans" w:cs="Open Sans"/>
          <w:sz w:val="20"/>
          <w:szCs w:val="20"/>
        </w:rPr>
        <w:t xml:space="preserve"> trois exemplaires et sous pli cacheté. Les enveloppes doivent porter le nom du Soumission</w:t>
      </w:r>
      <w:r w:rsidR="002425AF" w:rsidRPr="0025781A">
        <w:rPr>
          <w:rFonts w:ascii="Open Sans" w:hAnsi="Open Sans" w:cs="Open Sans"/>
          <w:sz w:val="20"/>
          <w:szCs w:val="20"/>
        </w:rPr>
        <w:t>naire</w:t>
      </w:r>
      <w:r w:rsidRPr="0025781A">
        <w:rPr>
          <w:rFonts w:ascii="Open Sans" w:hAnsi="Open Sans" w:cs="Open Sans"/>
          <w:sz w:val="20"/>
          <w:szCs w:val="20"/>
        </w:rPr>
        <w:t xml:space="preserve"> avec la </w:t>
      </w:r>
      <w:r w:rsidRPr="0025781A">
        <w:rPr>
          <w:rFonts w:ascii="Open Sans" w:hAnsi="Open Sans" w:cs="Open Sans"/>
          <w:b/>
          <w:i/>
          <w:sz w:val="20"/>
          <w:szCs w:val="20"/>
        </w:rPr>
        <w:t>Re</w:t>
      </w:r>
      <w:r w:rsidR="008766A4" w:rsidRPr="0025781A">
        <w:rPr>
          <w:rFonts w:ascii="Open Sans" w:hAnsi="Open Sans" w:cs="Open Sans"/>
          <w:b/>
          <w:i/>
          <w:sz w:val="20"/>
          <w:szCs w:val="20"/>
        </w:rPr>
        <w:t>fe</w:t>
      </w:r>
      <w:r w:rsidRPr="0025781A">
        <w:rPr>
          <w:rFonts w:ascii="Open Sans" w:hAnsi="Open Sans" w:cs="Open Sans"/>
          <w:b/>
          <w:i/>
          <w:sz w:val="20"/>
          <w:szCs w:val="20"/>
        </w:rPr>
        <w:t xml:space="preserve">rence : </w:t>
      </w:r>
      <w:r w:rsidR="002425AF" w:rsidRPr="0025781A">
        <w:rPr>
          <w:rFonts w:ascii="Open Sans" w:hAnsi="Open Sans" w:cs="Open Sans"/>
          <w:b/>
          <w:i/>
          <w:sz w:val="20"/>
          <w:szCs w:val="20"/>
        </w:rPr>
        <w:t>PNLS/FM/23-ms/</w:t>
      </w:r>
      <w:r w:rsidRPr="0025781A">
        <w:rPr>
          <w:rFonts w:ascii="Open Sans" w:hAnsi="Open Sans" w:cs="Open Sans"/>
          <w:b/>
          <w:i/>
          <w:sz w:val="20"/>
          <w:szCs w:val="20"/>
        </w:rPr>
        <w:t>105-009 Recrutement pour l’enquête sur la résistance aux ARV chez les adultes"</w:t>
      </w:r>
      <w:r w:rsidRPr="0025781A">
        <w:rPr>
          <w:rFonts w:ascii="Open Sans" w:hAnsi="Open Sans" w:cs="Open Sans"/>
          <w:sz w:val="20"/>
          <w:szCs w:val="20"/>
        </w:rPr>
        <w:t xml:space="preserve"> et déposer à la réception de l’UCMIT sis au 17, Rue </w:t>
      </w:r>
      <w:proofErr w:type="spellStart"/>
      <w:proofErr w:type="gramStart"/>
      <w:r w:rsidRPr="0025781A">
        <w:rPr>
          <w:rFonts w:ascii="Open Sans" w:hAnsi="Open Sans" w:cs="Open Sans"/>
          <w:sz w:val="20"/>
          <w:szCs w:val="20"/>
        </w:rPr>
        <w:t>Darguin</w:t>
      </w:r>
      <w:proofErr w:type="spellEnd"/>
      <w:r w:rsidRPr="0025781A">
        <w:rPr>
          <w:rFonts w:ascii="Open Sans" w:hAnsi="Open Sans" w:cs="Open Sans"/>
          <w:sz w:val="20"/>
          <w:szCs w:val="20"/>
        </w:rPr>
        <w:t xml:space="preserve"> ,</w:t>
      </w:r>
      <w:proofErr w:type="gramEnd"/>
      <w:r w:rsidRPr="0025781A">
        <w:rPr>
          <w:rFonts w:ascii="Open Sans" w:hAnsi="Open Sans" w:cs="Open Sans"/>
          <w:sz w:val="20"/>
          <w:szCs w:val="20"/>
        </w:rPr>
        <w:t xml:space="preserve"> Pétion-Ville, </w:t>
      </w:r>
      <w:proofErr w:type="spellStart"/>
      <w:r w:rsidRPr="0025781A">
        <w:rPr>
          <w:rFonts w:ascii="Open Sans" w:hAnsi="Open Sans" w:cs="Open Sans"/>
          <w:sz w:val="20"/>
          <w:szCs w:val="20"/>
        </w:rPr>
        <w:t>Haiti</w:t>
      </w:r>
      <w:proofErr w:type="spellEnd"/>
      <w:r w:rsidRPr="0025781A">
        <w:rPr>
          <w:rFonts w:ascii="Open Sans" w:hAnsi="Open Sans" w:cs="Open Sans"/>
          <w:sz w:val="20"/>
          <w:szCs w:val="20"/>
        </w:rPr>
        <w:t xml:space="preserve"> au plus tard le  …………………….. </w:t>
      </w:r>
      <w:proofErr w:type="gramStart"/>
      <w:r w:rsidRPr="0025781A">
        <w:rPr>
          <w:rFonts w:ascii="Open Sans" w:hAnsi="Open Sans" w:cs="Open Sans"/>
          <w:sz w:val="20"/>
          <w:szCs w:val="20"/>
        </w:rPr>
        <w:t>avant</w:t>
      </w:r>
      <w:proofErr w:type="gramEnd"/>
      <w:r w:rsidRPr="0025781A">
        <w:rPr>
          <w:rFonts w:ascii="Open Sans" w:hAnsi="Open Sans" w:cs="Open Sans"/>
          <w:sz w:val="20"/>
          <w:szCs w:val="20"/>
        </w:rPr>
        <w:t xml:space="preserve"> 3 :00 Pm.</w:t>
      </w:r>
    </w:p>
    <w:p w14:paraId="2124782B" w14:textId="77777777" w:rsidR="00E31DDB" w:rsidRPr="00EE737B" w:rsidRDefault="00E31DDB" w:rsidP="00E31DDB">
      <w:pPr>
        <w:pStyle w:val="NoSpacing"/>
        <w:jc w:val="both"/>
        <w:rPr>
          <w:rFonts w:ascii="Open Sans" w:hAnsi="Open Sans" w:cs="Open Sans"/>
        </w:rPr>
      </w:pPr>
    </w:p>
    <w:p w14:paraId="2124782C" w14:textId="77777777" w:rsidR="00596BF0" w:rsidRPr="00AF18D3" w:rsidRDefault="00596BF0" w:rsidP="00AF18D3">
      <w:pPr>
        <w:autoSpaceDE w:val="0"/>
        <w:autoSpaceDN w:val="0"/>
        <w:adjustRightInd w:val="0"/>
        <w:spacing w:after="0" w:line="240" w:lineRule="auto"/>
        <w:jc w:val="both"/>
        <w:rPr>
          <w:rFonts w:ascii="Open Sans" w:hAnsi="Open Sans" w:cs="Open Sans"/>
          <w:bCs/>
        </w:rPr>
      </w:pPr>
    </w:p>
    <w:p w14:paraId="2124782D" w14:textId="77777777" w:rsidR="006C3C7C" w:rsidRPr="00AF18D3" w:rsidRDefault="006C3C7C" w:rsidP="00AF18D3">
      <w:pPr>
        <w:spacing w:after="0" w:line="240" w:lineRule="auto"/>
        <w:rPr>
          <w:rFonts w:ascii="Open Sans" w:hAnsi="Open Sans" w:cs="Open Sans"/>
        </w:rPr>
      </w:pPr>
    </w:p>
    <w:sectPr w:rsidR="006C3C7C" w:rsidRPr="00AF18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00233"/>
    <w:multiLevelType w:val="hybridMultilevel"/>
    <w:tmpl w:val="3744A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E424C1"/>
    <w:multiLevelType w:val="hybridMultilevel"/>
    <w:tmpl w:val="9872D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C6785C"/>
    <w:multiLevelType w:val="hybridMultilevel"/>
    <w:tmpl w:val="8C8AF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A50FAF"/>
    <w:multiLevelType w:val="hybridMultilevel"/>
    <w:tmpl w:val="CA1AF3E4"/>
    <w:lvl w:ilvl="0" w:tplc="0409001B">
      <w:start w:val="1"/>
      <w:numFmt w:val="lowerRoman"/>
      <w:lvlText w:val="%1."/>
      <w:lvlJc w:val="right"/>
      <w:pPr>
        <w:ind w:left="2304" w:hanging="360"/>
      </w:pPr>
      <w:rPr>
        <w:rFonts w:hint="default"/>
      </w:rPr>
    </w:lvl>
    <w:lvl w:ilvl="1" w:tplc="04090019">
      <w:start w:val="1"/>
      <w:numFmt w:val="lowerLetter"/>
      <w:lvlText w:val="%2."/>
      <w:lvlJc w:val="left"/>
      <w:pPr>
        <w:ind w:left="3024" w:hanging="360"/>
      </w:pPr>
    </w:lvl>
    <w:lvl w:ilvl="2" w:tplc="0409001B">
      <w:start w:val="1"/>
      <w:numFmt w:val="lowerRoman"/>
      <w:lvlText w:val="%3."/>
      <w:lvlJc w:val="right"/>
      <w:pPr>
        <w:ind w:left="3744" w:hanging="180"/>
      </w:pPr>
    </w:lvl>
    <w:lvl w:ilvl="3" w:tplc="0409000F" w:tentative="1">
      <w:start w:val="1"/>
      <w:numFmt w:val="decimal"/>
      <w:lvlText w:val="%4."/>
      <w:lvlJc w:val="left"/>
      <w:pPr>
        <w:ind w:left="4464" w:hanging="360"/>
      </w:pPr>
    </w:lvl>
    <w:lvl w:ilvl="4" w:tplc="04090019" w:tentative="1">
      <w:start w:val="1"/>
      <w:numFmt w:val="lowerLetter"/>
      <w:lvlText w:val="%5."/>
      <w:lvlJc w:val="left"/>
      <w:pPr>
        <w:ind w:left="5184" w:hanging="360"/>
      </w:pPr>
    </w:lvl>
    <w:lvl w:ilvl="5" w:tplc="0409001B" w:tentative="1">
      <w:start w:val="1"/>
      <w:numFmt w:val="lowerRoman"/>
      <w:lvlText w:val="%6."/>
      <w:lvlJc w:val="right"/>
      <w:pPr>
        <w:ind w:left="5904" w:hanging="180"/>
      </w:pPr>
    </w:lvl>
    <w:lvl w:ilvl="6" w:tplc="0409000F" w:tentative="1">
      <w:start w:val="1"/>
      <w:numFmt w:val="decimal"/>
      <w:lvlText w:val="%7."/>
      <w:lvlJc w:val="left"/>
      <w:pPr>
        <w:ind w:left="6624" w:hanging="360"/>
      </w:pPr>
    </w:lvl>
    <w:lvl w:ilvl="7" w:tplc="04090019" w:tentative="1">
      <w:start w:val="1"/>
      <w:numFmt w:val="lowerLetter"/>
      <w:lvlText w:val="%8."/>
      <w:lvlJc w:val="left"/>
      <w:pPr>
        <w:ind w:left="7344" w:hanging="360"/>
      </w:pPr>
    </w:lvl>
    <w:lvl w:ilvl="8" w:tplc="0409001B" w:tentative="1">
      <w:start w:val="1"/>
      <w:numFmt w:val="lowerRoman"/>
      <w:lvlText w:val="%9."/>
      <w:lvlJc w:val="right"/>
      <w:pPr>
        <w:ind w:left="8064" w:hanging="180"/>
      </w:pPr>
    </w:lvl>
  </w:abstractNum>
  <w:abstractNum w:abstractNumId="4" w15:restartNumberingAfterBreak="0">
    <w:nsid w:val="1A4E66DF"/>
    <w:multiLevelType w:val="multilevel"/>
    <w:tmpl w:val="31D6644A"/>
    <w:lvl w:ilvl="0">
      <w:start w:val="1"/>
      <w:numFmt w:val="decimal"/>
      <w:lvlText w:val="%1."/>
      <w:lvlJc w:val="left"/>
      <w:pPr>
        <w:ind w:left="360" w:hanging="360"/>
      </w:pPr>
    </w:lvl>
    <w:lvl w:ilvl="1">
      <w:start w:val="1"/>
      <w:numFmt w:val="lowerLetter"/>
      <w:lvlText w:val="%2)"/>
      <w:lvlJc w:val="left"/>
      <w:pPr>
        <w:ind w:left="792" w:hanging="432"/>
      </w:pPr>
      <w:rPr>
        <w:rFonts w:ascii="Cambria Math" w:eastAsia="MS Mincho" w:hAnsi="Cambria Math" w:cs="Times New Roman"/>
      </w:rPr>
    </w:lvl>
    <w:lvl w:ilvl="2">
      <w:start w:val="1"/>
      <w:numFmt w:val="lowerLetter"/>
      <w:lvlText w:val="%3)"/>
      <w:lvlJc w:val="left"/>
      <w:pPr>
        <w:ind w:left="1224" w:hanging="504"/>
      </w:pPr>
      <w:rPr>
        <w:rFonts w:ascii="Cambria Math" w:eastAsia="MS Mincho" w:hAnsi="Cambria Math"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7AB0D89"/>
    <w:multiLevelType w:val="hybridMultilevel"/>
    <w:tmpl w:val="CD92F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946388"/>
    <w:multiLevelType w:val="hybridMultilevel"/>
    <w:tmpl w:val="6C705EAE"/>
    <w:lvl w:ilvl="0" w:tplc="3FA85CDA">
      <w:start w:val="1"/>
      <w:numFmt w:val="lowerLetter"/>
      <w:lvlText w:val="%1)"/>
      <w:lvlJc w:val="left"/>
      <w:pPr>
        <w:ind w:left="360" w:hanging="360"/>
      </w:pPr>
      <w:rPr>
        <w:rFonts w:hint="default"/>
      </w:rPr>
    </w:lvl>
    <w:lvl w:ilvl="1" w:tplc="04090019">
      <w:start w:val="1"/>
      <w:numFmt w:val="lowerLetter"/>
      <w:lvlText w:val="%2."/>
      <w:lvlJc w:val="left"/>
      <w:pPr>
        <w:ind w:left="2304" w:hanging="360"/>
      </w:pPr>
    </w:lvl>
    <w:lvl w:ilvl="2" w:tplc="0409001B">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7" w15:restartNumberingAfterBreak="0">
    <w:nsid w:val="52083DDF"/>
    <w:multiLevelType w:val="hybridMultilevel"/>
    <w:tmpl w:val="B89AA530"/>
    <w:lvl w:ilvl="0" w:tplc="4F92FFE0">
      <w:numFmt w:val="bullet"/>
      <w:lvlText w:val="-"/>
      <w:lvlJc w:val="left"/>
      <w:pPr>
        <w:ind w:left="720" w:hanging="360"/>
      </w:pPr>
      <w:rPr>
        <w:rFonts w:ascii="Calibri" w:eastAsia="Calibri" w:hAnsi="Calibri" w:cs="Calibri"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8" w15:restartNumberingAfterBreak="0">
    <w:nsid w:val="52596820"/>
    <w:multiLevelType w:val="hybridMultilevel"/>
    <w:tmpl w:val="8354D61E"/>
    <w:lvl w:ilvl="0" w:tplc="107836CC">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D379E9"/>
    <w:multiLevelType w:val="hybridMultilevel"/>
    <w:tmpl w:val="6C4E7FA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7243E25"/>
    <w:multiLevelType w:val="hybridMultilevel"/>
    <w:tmpl w:val="92621F9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ADF749C"/>
    <w:multiLevelType w:val="hybridMultilevel"/>
    <w:tmpl w:val="2F5A1658"/>
    <w:lvl w:ilvl="0" w:tplc="DAB638D8">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71670E"/>
    <w:multiLevelType w:val="hybridMultilevel"/>
    <w:tmpl w:val="B980E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4293475">
    <w:abstractNumId w:val="4"/>
  </w:num>
  <w:num w:numId="2" w16cid:durableId="1099986634">
    <w:abstractNumId w:val="11"/>
  </w:num>
  <w:num w:numId="3" w16cid:durableId="243345425">
    <w:abstractNumId w:val="6"/>
  </w:num>
  <w:num w:numId="4" w16cid:durableId="456727158">
    <w:abstractNumId w:val="8"/>
  </w:num>
  <w:num w:numId="5" w16cid:durableId="1124080412">
    <w:abstractNumId w:val="3"/>
  </w:num>
  <w:num w:numId="6" w16cid:durableId="167865996">
    <w:abstractNumId w:val="9"/>
  </w:num>
  <w:num w:numId="7" w16cid:durableId="2091656437">
    <w:abstractNumId w:val="5"/>
  </w:num>
  <w:num w:numId="8" w16cid:durableId="1772503434">
    <w:abstractNumId w:val="10"/>
  </w:num>
  <w:num w:numId="9" w16cid:durableId="1246769682">
    <w:abstractNumId w:val="12"/>
  </w:num>
  <w:num w:numId="10" w16cid:durableId="979262272">
    <w:abstractNumId w:val="2"/>
  </w:num>
  <w:num w:numId="11" w16cid:durableId="789128777">
    <w:abstractNumId w:val="0"/>
  </w:num>
  <w:num w:numId="12" w16cid:durableId="762069777">
    <w:abstractNumId w:val="1"/>
  </w:num>
  <w:num w:numId="13" w16cid:durableId="4778474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5E90"/>
    <w:rsid w:val="00015A8F"/>
    <w:rsid w:val="000457ED"/>
    <w:rsid w:val="002305AC"/>
    <w:rsid w:val="002425AF"/>
    <w:rsid w:val="0025781A"/>
    <w:rsid w:val="00275923"/>
    <w:rsid w:val="00283A01"/>
    <w:rsid w:val="002B187D"/>
    <w:rsid w:val="002C37C4"/>
    <w:rsid w:val="002E00D5"/>
    <w:rsid w:val="002E1E23"/>
    <w:rsid w:val="00384318"/>
    <w:rsid w:val="0039756B"/>
    <w:rsid w:val="003B721C"/>
    <w:rsid w:val="004309DE"/>
    <w:rsid w:val="00527D3E"/>
    <w:rsid w:val="005620C6"/>
    <w:rsid w:val="00596BF0"/>
    <w:rsid w:val="005F6E90"/>
    <w:rsid w:val="0068006A"/>
    <w:rsid w:val="006C31CF"/>
    <w:rsid w:val="006C3C7C"/>
    <w:rsid w:val="006F1026"/>
    <w:rsid w:val="00740457"/>
    <w:rsid w:val="0079623C"/>
    <w:rsid w:val="0082281D"/>
    <w:rsid w:val="008766A4"/>
    <w:rsid w:val="008E49ED"/>
    <w:rsid w:val="009B7AD1"/>
    <w:rsid w:val="009F7A05"/>
    <w:rsid w:val="00A17E4D"/>
    <w:rsid w:val="00A24866"/>
    <w:rsid w:val="00A65E90"/>
    <w:rsid w:val="00A74F42"/>
    <w:rsid w:val="00A82F04"/>
    <w:rsid w:val="00A90179"/>
    <w:rsid w:val="00AF18D3"/>
    <w:rsid w:val="00B6700D"/>
    <w:rsid w:val="00BD2D90"/>
    <w:rsid w:val="00CA599F"/>
    <w:rsid w:val="00D9444A"/>
    <w:rsid w:val="00DB0EFF"/>
    <w:rsid w:val="00DD4742"/>
    <w:rsid w:val="00E31DDB"/>
    <w:rsid w:val="00E66F12"/>
    <w:rsid w:val="00EC0321"/>
    <w:rsid w:val="00FB5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477CF"/>
  <w15:docId w15:val="{20DADB4D-A709-452A-B6F2-0C7E41BDA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E90"/>
    <w:pPr>
      <w:spacing w:after="160" w:line="259" w:lineRule="auto"/>
    </w:pPr>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5E90"/>
    <w:pPr>
      <w:tabs>
        <w:tab w:val="center" w:pos="4680"/>
        <w:tab w:val="right" w:pos="9360"/>
      </w:tabs>
      <w:spacing w:after="0" w:line="240" w:lineRule="auto"/>
    </w:pPr>
    <w:rPr>
      <w:rFonts w:eastAsia="MS Mincho"/>
      <w:lang w:val="en-US"/>
    </w:rPr>
  </w:style>
  <w:style w:type="character" w:customStyle="1" w:styleId="HeaderChar">
    <w:name w:val="Header Char"/>
    <w:basedOn w:val="DefaultParagraphFont"/>
    <w:link w:val="Header"/>
    <w:uiPriority w:val="99"/>
    <w:rsid w:val="00A65E90"/>
    <w:rPr>
      <w:rFonts w:eastAsia="MS Mincho"/>
    </w:rPr>
  </w:style>
  <w:style w:type="paragraph" w:styleId="ListParagraph">
    <w:name w:val="List Paragraph"/>
    <w:basedOn w:val="Normal"/>
    <w:uiPriority w:val="34"/>
    <w:qFormat/>
    <w:rsid w:val="006C3C7C"/>
    <w:pPr>
      <w:spacing w:after="200" w:line="276" w:lineRule="auto"/>
      <w:ind w:left="720"/>
      <w:contextualSpacing/>
    </w:pPr>
    <w:rPr>
      <w:rFonts w:eastAsiaTheme="minorEastAsia"/>
      <w:lang w:val="en-US"/>
    </w:rPr>
  </w:style>
  <w:style w:type="paragraph" w:styleId="NoSpacing">
    <w:name w:val="No Spacing"/>
    <w:uiPriority w:val="1"/>
    <w:qFormat/>
    <w:rsid w:val="006C3C7C"/>
    <w:pPr>
      <w:spacing w:after="0" w:line="240" w:lineRule="auto"/>
    </w:pPr>
    <w:rPr>
      <w:rFonts w:eastAsiaTheme="minorEastAsia"/>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1237</Words>
  <Characters>7055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Bernadine V.Virgil</dc:creator>
  <cp:lastModifiedBy>Bernadine Verdieu</cp:lastModifiedBy>
  <cp:revision>2</cp:revision>
  <cp:lastPrinted>2023-03-27T19:13:00Z</cp:lastPrinted>
  <dcterms:created xsi:type="dcterms:W3CDTF">2023-04-15T02:50:00Z</dcterms:created>
  <dcterms:modified xsi:type="dcterms:W3CDTF">2023-04-15T02:50:00Z</dcterms:modified>
</cp:coreProperties>
</file>