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B8" w:rsidRDefault="00671D97" w:rsidP="007C1F39">
      <w:pPr>
        <w:jc w:val="both"/>
      </w:pPr>
      <w:r>
        <w:rPr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-262255</wp:posOffset>
            </wp:positionV>
            <wp:extent cx="939800" cy="685800"/>
            <wp:effectExtent l="0" t="0" r="0" b="0"/>
            <wp:wrapNone/>
            <wp:docPr id="2" name="Picture 2" descr="haiti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iti2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1D97" w:rsidRDefault="00671D97" w:rsidP="007C1F39">
      <w:pPr>
        <w:pStyle w:val="Header"/>
        <w:jc w:val="both"/>
        <w:rPr>
          <w:b/>
          <w:noProof/>
          <w:sz w:val="32"/>
          <w:lang w:val="fr-FR"/>
        </w:rPr>
      </w:pPr>
    </w:p>
    <w:p w:rsidR="00671D97" w:rsidRPr="00F17D8C" w:rsidRDefault="00671D97" w:rsidP="00733930">
      <w:pPr>
        <w:pStyle w:val="Header"/>
        <w:jc w:val="center"/>
        <w:rPr>
          <w:b/>
          <w:sz w:val="32"/>
          <w:lang w:val="fr-FR"/>
        </w:rPr>
      </w:pPr>
      <w:r w:rsidRPr="00F17D8C">
        <w:rPr>
          <w:b/>
          <w:sz w:val="32"/>
          <w:lang w:val="fr-FR"/>
        </w:rPr>
        <w:t>MINISTERE DE LA SANTÉ PUBLIQUE ET DE LA POPULATION</w:t>
      </w:r>
    </w:p>
    <w:p w:rsidR="00671D97" w:rsidRDefault="00671D97" w:rsidP="00733930">
      <w:pPr>
        <w:pStyle w:val="Header"/>
        <w:jc w:val="center"/>
        <w:rPr>
          <w:b/>
          <w:sz w:val="28"/>
          <w:lang w:val="fr-FR"/>
        </w:rPr>
      </w:pPr>
      <w:r w:rsidRPr="00F17D8C">
        <w:rPr>
          <w:b/>
          <w:sz w:val="28"/>
          <w:lang w:val="fr-FR"/>
        </w:rPr>
        <w:t>UNITÉ DE COORDINATION DES MALADIES INFECTUEUSES ET TRANSMISSIBLE</w:t>
      </w:r>
    </w:p>
    <w:p w:rsidR="00671D97" w:rsidRPr="00F55B06" w:rsidRDefault="00671D97" w:rsidP="00733930">
      <w:pPr>
        <w:pStyle w:val="Header"/>
        <w:jc w:val="center"/>
        <w:rPr>
          <w:b/>
          <w:sz w:val="28"/>
          <w:lang w:val="fr-FR"/>
        </w:rPr>
      </w:pPr>
      <w:r>
        <w:rPr>
          <w:b/>
          <w:sz w:val="28"/>
          <w:lang w:val="fr-FR"/>
        </w:rPr>
        <w:t>UCMIT/MSPP</w:t>
      </w:r>
    </w:p>
    <w:p w:rsidR="00671D97" w:rsidRDefault="00671D97" w:rsidP="00733930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</w:t>
      </w:r>
    </w:p>
    <w:p w:rsidR="00671D97" w:rsidRDefault="00D14904" w:rsidP="00733930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TERMES DE REFERENCE POUR L’ACQUISI</w:t>
      </w:r>
      <w:r w:rsidR="00860FDD">
        <w:rPr>
          <w:rFonts w:ascii="Arial" w:hAnsi="Arial" w:cs="Arial"/>
          <w:b/>
          <w:bCs/>
        </w:rPr>
        <w:t xml:space="preserve">TION DE </w:t>
      </w:r>
      <w:r w:rsidR="008F4CA4">
        <w:rPr>
          <w:rFonts w:ascii="Arial" w:hAnsi="Arial" w:cs="Arial"/>
          <w:b/>
          <w:bCs/>
        </w:rPr>
        <w:t>MATERIELS MEDICAUX POUR LE PNLT</w:t>
      </w:r>
    </w:p>
    <w:p w:rsidR="00671D97" w:rsidRPr="00A30370" w:rsidRDefault="00671D97" w:rsidP="007C1F39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</w:t>
      </w:r>
    </w:p>
    <w:p w:rsidR="00671D97" w:rsidRDefault="00671D97" w:rsidP="007C1F39">
      <w:pPr>
        <w:jc w:val="both"/>
      </w:pPr>
    </w:p>
    <w:p w:rsidR="00D14904" w:rsidRPr="00815D66" w:rsidRDefault="00815D66" w:rsidP="007C1F39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15D66">
        <w:rPr>
          <w:b/>
          <w:sz w:val="28"/>
          <w:szCs w:val="28"/>
        </w:rPr>
        <w:t>Justification</w:t>
      </w:r>
      <w:bookmarkStart w:id="0" w:name="_GoBack"/>
      <w:bookmarkEnd w:id="0"/>
    </w:p>
    <w:p w:rsidR="0079609F" w:rsidRDefault="00D14904" w:rsidP="007C1F39">
      <w:pPr>
        <w:jc w:val="both"/>
        <w:rPr>
          <w:sz w:val="24"/>
          <w:szCs w:val="24"/>
        </w:rPr>
      </w:pPr>
      <w:r w:rsidRPr="00E36C3D">
        <w:rPr>
          <w:sz w:val="24"/>
          <w:szCs w:val="24"/>
        </w:rPr>
        <w:t>L’</w:t>
      </w:r>
      <w:r w:rsidR="006D6606" w:rsidRPr="00E36C3D">
        <w:rPr>
          <w:sz w:val="24"/>
          <w:szCs w:val="24"/>
        </w:rPr>
        <w:t>Unité</w:t>
      </w:r>
      <w:r w:rsidRPr="00E36C3D">
        <w:rPr>
          <w:sz w:val="24"/>
          <w:szCs w:val="24"/>
        </w:rPr>
        <w:t xml:space="preserve"> de de Coordination </w:t>
      </w:r>
      <w:r w:rsidR="00364C5D" w:rsidRPr="00E36C3D">
        <w:rPr>
          <w:sz w:val="24"/>
          <w:szCs w:val="24"/>
        </w:rPr>
        <w:t>des Maladies</w:t>
      </w:r>
      <w:r w:rsidRPr="00E36C3D">
        <w:rPr>
          <w:sz w:val="24"/>
          <w:szCs w:val="24"/>
        </w:rPr>
        <w:t xml:space="preserve"> Infectieuses et Transmissibles (UCMIT) est une </w:t>
      </w:r>
      <w:r w:rsidR="005B2C3A" w:rsidRPr="00E36C3D">
        <w:rPr>
          <w:sz w:val="24"/>
          <w:szCs w:val="24"/>
        </w:rPr>
        <w:t>entité</w:t>
      </w:r>
      <w:r w:rsidRPr="00E36C3D">
        <w:rPr>
          <w:sz w:val="24"/>
          <w:szCs w:val="24"/>
        </w:rPr>
        <w:t xml:space="preserve"> du MSPP qui assure la coordination</w:t>
      </w:r>
      <w:r w:rsidR="00C505D6" w:rsidRPr="00E36C3D">
        <w:rPr>
          <w:sz w:val="24"/>
          <w:szCs w:val="24"/>
        </w:rPr>
        <w:t xml:space="preserve"> des trois programmes nationaux de lutte</w:t>
      </w:r>
      <w:r w:rsidR="00815D66">
        <w:rPr>
          <w:sz w:val="24"/>
          <w:szCs w:val="24"/>
        </w:rPr>
        <w:t xml:space="preserve"> contre la tuberculose, le VIH/</w:t>
      </w:r>
      <w:r w:rsidR="00364C5D">
        <w:rPr>
          <w:sz w:val="24"/>
          <w:szCs w:val="24"/>
        </w:rPr>
        <w:t>SIDA et</w:t>
      </w:r>
      <w:r w:rsidR="00815D66">
        <w:rPr>
          <w:sz w:val="24"/>
          <w:szCs w:val="24"/>
        </w:rPr>
        <w:t xml:space="preserve"> la Malaria.</w:t>
      </w:r>
    </w:p>
    <w:p w:rsidR="00364C5D" w:rsidRDefault="007C1F39" w:rsidP="007C1F39">
      <w:pPr>
        <w:jc w:val="both"/>
        <w:rPr>
          <w:sz w:val="24"/>
          <w:szCs w:val="24"/>
        </w:rPr>
      </w:pPr>
      <w:r>
        <w:rPr>
          <w:sz w:val="24"/>
          <w:szCs w:val="24"/>
        </w:rPr>
        <w:t>L’UCMIT à</w:t>
      </w:r>
      <w:r w:rsidR="0079609F">
        <w:rPr>
          <w:sz w:val="24"/>
          <w:szCs w:val="24"/>
        </w:rPr>
        <w:t xml:space="preserve"> travers le Programme National de Lutte contre la Tuberculose et grâce au support financier de PEPFAR compte faire l’acquisition sur le </w:t>
      </w:r>
      <w:r w:rsidR="001724E5">
        <w:rPr>
          <w:sz w:val="24"/>
          <w:szCs w:val="24"/>
        </w:rPr>
        <w:t>marché</w:t>
      </w:r>
      <w:r w:rsidR="0079609F">
        <w:rPr>
          <w:sz w:val="24"/>
          <w:szCs w:val="24"/>
        </w:rPr>
        <w:t xml:space="preserve"> local de</w:t>
      </w:r>
      <w:r w:rsidR="005D5EE9">
        <w:rPr>
          <w:sz w:val="24"/>
          <w:szCs w:val="24"/>
        </w:rPr>
        <w:t xml:space="preserve"> matériels médicaux devant permettre au personnel des CDT de fournir adéquatement des services aux </w:t>
      </w:r>
      <w:r w:rsidR="000329CF">
        <w:rPr>
          <w:sz w:val="24"/>
          <w:szCs w:val="24"/>
        </w:rPr>
        <w:t xml:space="preserve">patients tuberculeux et autres patients présentant des symptômes pouvant être lies au Covid-19. </w:t>
      </w:r>
      <w:r w:rsidR="00AB07FD">
        <w:rPr>
          <w:sz w:val="24"/>
          <w:szCs w:val="24"/>
        </w:rPr>
        <w:t>Compte tenu de</w:t>
      </w:r>
      <w:r w:rsidR="005D5EE9">
        <w:rPr>
          <w:sz w:val="24"/>
          <w:szCs w:val="24"/>
        </w:rPr>
        <w:t xml:space="preserve"> l’importance de</w:t>
      </w:r>
      <w:r w:rsidR="00AB07FD">
        <w:rPr>
          <w:sz w:val="24"/>
          <w:szCs w:val="24"/>
        </w:rPr>
        <w:t xml:space="preserve"> la courbe de poids dans le monitorage de l’</w:t>
      </w:r>
      <w:r w:rsidR="00D5564F">
        <w:rPr>
          <w:sz w:val="24"/>
          <w:szCs w:val="24"/>
        </w:rPr>
        <w:t>évolution</w:t>
      </w:r>
      <w:r w:rsidR="00AB07FD">
        <w:rPr>
          <w:sz w:val="24"/>
          <w:szCs w:val="24"/>
        </w:rPr>
        <w:t xml:space="preserve"> du traitement des patients TB, </w:t>
      </w:r>
      <w:r w:rsidR="00D5564F">
        <w:rPr>
          <w:sz w:val="24"/>
          <w:szCs w:val="24"/>
        </w:rPr>
        <w:t>au</w:t>
      </w:r>
      <w:r w:rsidR="00AB07FD">
        <w:rPr>
          <w:sz w:val="24"/>
          <w:szCs w:val="24"/>
        </w:rPr>
        <w:t xml:space="preserve"> total 250 balances adultes seront </w:t>
      </w:r>
      <w:r w:rsidR="005D5EE9">
        <w:rPr>
          <w:sz w:val="24"/>
          <w:szCs w:val="24"/>
        </w:rPr>
        <w:t>achetées.</w:t>
      </w:r>
      <w:r w:rsidR="00AB07FD">
        <w:rPr>
          <w:sz w:val="24"/>
          <w:szCs w:val="24"/>
        </w:rPr>
        <w:t xml:space="preserve"> En plus des balances </w:t>
      </w:r>
      <w:r w:rsidR="00D5564F">
        <w:rPr>
          <w:sz w:val="24"/>
          <w:szCs w:val="24"/>
        </w:rPr>
        <w:t>adultes,</w:t>
      </w:r>
      <w:r w:rsidR="00AB07FD">
        <w:rPr>
          <w:sz w:val="24"/>
          <w:szCs w:val="24"/>
        </w:rPr>
        <w:t xml:space="preserve"> on va aussi combler un manque de </w:t>
      </w:r>
      <w:r w:rsidR="00D5564F">
        <w:rPr>
          <w:sz w:val="24"/>
          <w:szCs w:val="24"/>
        </w:rPr>
        <w:t>tensiomètres</w:t>
      </w:r>
      <w:r w:rsidR="00AB07FD">
        <w:rPr>
          <w:sz w:val="24"/>
          <w:szCs w:val="24"/>
        </w:rPr>
        <w:t xml:space="preserve"> dans les CDT en achetant 30 </w:t>
      </w:r>
      <w:r w:rsidR="00D5564F">
        <w:rPr>
          <w:sz w:val="24"/>
          <w:szCs w:val="24"/>
        </w:rPr>
        <w:t>nouveaux tensiomètres</w:t>
      </w:r>
      <w:r w:rsidR="00AB07FD">
        <w:rPr>
          <w:sz w:val="24"/>
          <w:szCs w:val="24"/>
        </w:rPr>
        <w:t xml:space="preserve">. </w:t>
      </w:r>
      <w:r w:rsidR="00D5564F">
        <w:rPr>
          <w:sz w:val="24"/>
          <w:szCs w:val="24"/>
        </w:rPr>
        <w:t>Certains</w:t>
      </w:r>
      <w:r w:rsidR="00AB07FD">
        <w:rPr>
          <w:sz w:val="24"/>
          <w:szCs w:val="24"/>
        </w:rPr>
        <w:t xml:space="preserve"> patients se présentent avec des troubles respiratoires plus ou moins sévères dans le contexte de </w:t>
      </w:r>
      <w:r w:rsidR="00D5564F">
        <w:rPr>
          <w:sz w:val="24"/>
          <w:szCs w:val="24"/>
        </w:rPr>
        <w:t xml:space="preserve">comorbidité Tuberculose t Covid-19 ; on aura donc besoin de 20 saturomètres pour venir en support </w:t>
      </w:r>
      <w:r w:rsidR="005D5EE9">
        <w:rPr>
          <w:sz w:val="24"/>
          <w:szCs w:val="24"/>
        </w:rPr>
        <w:t>à</w:t>
      </w:r>
      <w:r w:rsidR="00D5564F">
        <w:rPr>
          <w:sz w:val="24"/>
          <w:szCs w:val="24"/>
        </w:rPr>
        <w:t xml:space="preserve"> certains CDT situes dans des zones ou la prévalence </w:t>
      </w:r>
      <w:r w:rsidR="00547AAC">
        <w:rPr>
          <w:sz w:val="24"/>
          <w:szCs w:val="24"/>
        </w:rPr>
        <w:t>est préoccupante</w:t>
      </w:r>
      <w:r w:rsidR="00D5564F">
        <w:rPr>
          <w:sz w:val="24"/>
          <w:szCs w:val="24"/>
        </w:rPr>
        <w:t>.</w:t>
      </w:r>
    </w:p>
    <w:p w:rsidR="001815F1" w:rsidRPr="00D531B7" w:rsidRDefault="005B2C3A" w:rsidP="007C1F39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531B7">
        <w:rPr>
          <w:b/>
          <w:sz w:val="28"/>
          <w:szCs w:val="28"/>
        </w:rPr>
        <w:t xml:space="preserve">Description technique </w:t>
      </w:r>
    </w:p>
    <w:p w:rsidR="005B2C3A" w:rsidRDefault="005B2C3A" w:rsidP="007C1F39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:rsidR="00197BD5" w:rsidTr="00197BD5">
        <w:tc>
          <w:tcPr>
            <w:tcW w:w="3116" w:type="dxa"/>
          </w:tcPr>
          <w:p w:rsidR="00197BD5" w:rsidRDefault="00197BD5" w:rsidP="007C1F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Matériel</w:t>
            </w:r>
          </w:p>
        </w:tc>
        <w:tc>
          <w:tcPr>
            <w:tcW w:w="3117" w:type="dxa"/>
          </w:tcPr>
          <w:p w:rsidR="00197BD5" w:rsidRDefault="00197BD5" w:rsidP="007C1F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Quantité</w:t>
            </w:r>
          </w:p>
        </w:tc>
        <w:tc>
          <w:tcPr>
            <w:tcW w:w="3117" w:type="dxa"/>
          </w:tcPr>
          <w:p w:rsidR="00197BD5" w:rsidRDefault="00197BD5" w:rsidP="007C1F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Technique</w:t>
            </w:r>
          </w:p>
        </w:tc>
      </w:tr>
      <w:tr w:rsidR="00197BD5" w:rsidRPr="0079609F" w:rsidTr="00197BD5">
        <w:tc>
          <w:tcPr>
            <w:tcW w:w="3116" w:type="dxa"/>
          </w:tcPr>
          <w:p w:rsidR="00197BD5" w:rsidRDefault="00D857A9" w:rsidP="007C1F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Balances adultes</w:t>
            </w:r>
          </w:p>
        </w:tc>
        <w:tc>
          <w:tcPr>
            <w:tcW w:w="3117" w:type="dxa"/>
          </w:tcPr>
          <w:p w:rsidR="00197BD5" w:rsidRDefault="00D857A9" w:rsidP="007C1F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3117" w:type="dxa"/>
          </w:tcPr>
          <w:p w:rsidR="00197BD5" w:rsidRPr="00547AAC" w:rsidRDefault="00D857A9" w:rsidP="007C1F39">
            <w:pPr>
              <w:jc w:val="both"/>
              <w:rPr>
                <w:sz w:val="24"/>
                <w:szCs w:val="24"/>
              </w:rPr>
            </w:pPr>
            <w:r w:rsidRPr="00547AAC">
              <w:rPr>
                <w:sz w:val="24"/>
                <w:szCs w:val="24"/>
              </w:rPr>
              <w:t xml:space="preserve">Portatif, digital, avec lecture </w:t>
            </w:r>
            <w:r w:rsidR="00547AAC" w:rsidRPr="00547AAC">
              <w:rPr>
                <w:sz w:val="24"/>
                <w:szCs w:val="24"/>
              </w:rPr>
              <w:t>p</w:t>
            </w:r>
            <w:r w:rsidR="00547AAC">
              <w:rPr>
                <w:sz w:val="24"/>
                <w:szCs w:val="24"/>
              </w:rPr>
              <w:t>oids BMI</w:t>
            </w:r>
          </w:p>
        </w:tc>
      </w:tr>
      <w:tr w:rsidR="00197BD5" w:rsidRPr="006E2D9F" w:rsidTr="00197BD5">
        <w:tc>
          <w:tcPr>
            <w:tcW w:w="3116" w:type="dxa"/>
          </w:tcPr>
          <w:p w:rsidR="00197BD5" w:rsidRPr="00197BD5" w:rsidRDefault="007C1F39" w:rsidP="007C1F3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Tensiomè</w:t>
            </w:r>
            <w:r w:rsidR="00547AAC">
              <w:rPr>
                <w:sz w:val="24"/>
                <w:szCs w:val="24"/>
                <w:lang w:val="en-US"/>
              </w:rPr>
              <w:t>tres</w:t>
            </w:r>
          </w:p>
        </w:tc>
        <w:tc>
          <w:tcPr>
            <w:tcW w:w="3117" w:type="dxa"/>
          </w:tcPr>
          <w:p w:rsidR="00197BD5" w:rsidRPr="00197BD5" w:rsidRDefault="00547AAC" w:rsidP="007C1F3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3117" w:type="dxa"/>
          </w:tcPr>
          <w:p w:rsidR="00347048" w:rsidRPr="00197BD5" w:rsidRDefault="00547AAC" w:rsidP="007C1F3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Adult Size aneroid</w:t>
            </w:r>
          </w:p>
        </w:tc>
      </w:tr>
      <w:tr w:rsidR="00547AAC" w:rsidRPr="006E2D9F" w:rsidTr="00197BD5">
        <w:tc>
          <w:tcPr>
            <w:tcW w:w="3116" w:type="dxa"/>
          </w:tcPr>
          <w:p w:rsidR="00547AAC" w:rsidRDefault="007C1F39" w:rsidP="007C1F3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Saturomè</w:t>
            </w:r>
            <w:r w:rsidR="00547AAC">
              <w:rPr>
                <w:sz w:val="24"/>
                <w:szCs w:val="24"/>
                <w:lang w:val="en-US"/>
              </w:rPr>
              <w:t>tres</w:t>
            </w:r>
          </w:p>
        </w:tc>
        <w:tc>
          <w:tcPr>
            <w:tcW w:w="3117" w:type="dxa"/>
          </w:tcPr>
          <w:p w:rsidR="00547AAC" w:rsidRDefault="00547AAC" w:rsidP="007C1F3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117" w:type="dxa"/>
          </w:tcPr>
          <w:p w:rsidR="00547AAC" w:rsidRDefault="00547AAC" w:rsidP="007C1F39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197BD5" w:rsidRDefault="00197BD5" w:rsidP="007C1F39">
      <w:pPr>
        <w:jc w:val="both"/>
        <w:rPr>
          <w:sz w:val="24"/>
          <w:szCs w:val="24"/>
          <w:lang w:val="en-US"/>
        </w:rPr>
      </w:pPr>
    </w:p>
    <w:p w:rsidR="00AF0D12" w:rsidRDefault="00AF0D12" w:rsidP="007C1F39">
      <w:pPr>
        <w:jc w:val="both"/>
        <w:rPr>
          <w:sz w:val="24"/>
          <w:szCs w:val="24"/>
          <w:lang w:val="en-US"/>
        </w:rPr>
      </w:pPr>
    </w:p>
    <w:p w:rsidR="00AF0D12" w:rsidRPr="00197BD5" w:rsidRDefault="00AF0D12" w:rsidP="007C1F39">
      <w:pPr>
        <w:jc w:val="both"/>
        <w:rPr>
          <w:sz w:val="24"/>
          <w:szCs w:val="24"/>
          <w:lang w:val="en-US"/>
        </w:rPr>
      </w:pPr>
    </w:p>
    <w:p w:rsidR="006B4D9C" w:rsidRPr="00AF0D12" w:rsidRDefault="005D3ECA" w:rsidP="007C1F39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36C3D">
        <w:rPr>
          <w:b/>
          <w:sz w:val="28"/>
          <w:szCs w:val="28"/>
        </w:rPr>
        <w:t>Garantie et</w:t>
      </w:r>
      <w:r w:rsidR="00357A66">
        <w:rPr>
          <w:b/>
          <w:sz w:val="28"/>
          <w:szCs w:val="28"/>
        </w:rPr>
        <w:t>/</w:t>
      </w:r>
      <w:r w:rsidR="00E55CE1" w:rsidRPr="00E36C3D">
        <w:rPr>
          <w:b/>
          <w:sz w:val="28"/>
          <w:szCs w:val="28"/>
        </w:rPr>
        <w:t xml:space="preserve">ou </w:t>
      </w:r>
      <w:r w:rsidR="00357A66">
        <w:rPr>
          <w:b/>
          <w:sz w:val="28"/>
          <w:szCs w:val="28"/>
        </w:rPr>
        <w:t xml:space="preserve">qualité des </w:t>
      </w:r>
      <w:r w:rsidR="00E55CE1" w:rsidRPr="00E36C3D">
        <w:rPr>
          <w:b/>
          <w:sz w:val="28"/>
          <w:szCs w:val="28"/>
        </w:rPr>
        <w:t>services après-vente</w:t>
      </w:r>
    </w:p>
    <w:p w:rsidR="006B4D9C" w:rsidRDefault="006B4D9C" w:rsidP="007C1F39">
      <w:pPr>
        <w:jc w:val="both"/>
        <w:rPr>
          <w:sz w:val="24"/>
          <w:szCs w:val="24"/>
        </w:rPr>
      </w:pPr>
      <w:r>
        <w:rPr>
          <w:sz w:val="24"/>
          <w:szCs w:val="24"/>
        </w:rPr>
        <w:t>Dans la cotation, le fournisseur doit donner des informations sur la garantie :</w:t>
      </w:r>
    </w:p>
    <w:p w:rsidR="006B4D9C" w:rsidRPr="00EC20C0" w:rsidRDefault="006B4D9C" w:rsidP="007C1F39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EC20C0">
        <w:rPr>
          <w:sz w:val="24"/>
          <w:szCs w:val="24"/>
        </w:rPr>
        <w:t>Retour du matériel si défectueux</w:t>
      </w:r>
    </w:p>
    <w:p w:rsidR="006B4D9C" w:rsidRDefault="006B4D9C" w:rsidP="007C1F39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EC20C0">
        <w:rPr>
          <w:sz w:val="24"/>
          <w:szCs w:val="24"/>
        </w:rPr>
        <w:t>Délai de retour</w:t>
      </w:r>
    </w:p>
    <w:p w:rsidR="007C1F39" w:rsidRPr="00EC20C0" w:rsidRDefault="007C1F39" w:rsidP="007C1F39">
      <w:pPr>
        <w:pStyle w:val="ListParagraph"/>
        <w:jc w:val="both"/>
        <w:rPr>
          <w:sz w:val="24"/>
          <w:szCs w:val="24"/>
        </w:rPr>
      </w:pPr>
    </w:p>
    <w:p w:rsidR="005C5B0E" w:rsidRPr="00EC20C0" w:rsidRDefault="005C5B0E" w:rsidP="007C1F39">
      <w:pPr>
        <w:pStyle w:val="ListParagraph"/>
        <w:jc w:val="both"/>
        <w:rPr>
          <w:sz w:val="24"/>
          <w:szCs w:val="24"/>
        </w:rPr>
      </w:pPr>
    </w:p>
    <w:p w:rsidR="00E36C3D" w:rsidRDefault="00E36C3D" w:rsidP="007C1F39">
      <w:pPr>
        <w:jc w:val="both"/>
        <w:rPr>
          <w:sz w:val="24"/>
          <w:szCs w:val="24"/>
        </w:rPr>
      </w:pPr>
    </w:p>
    <w:p w:rsidR="00DA2638" w:rsidRPr="00F74355" w:rsidRDefault="00DA2638" w:rsidP="007C1F39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74355">
        <w:rPr>
          <w:b/>
          <w:sz w:val="28"/>
          <w:szCs w:val="28"/>
        </w:rPr>
        <w:t>Livraison/</w:t>
      </w:r>
      <w:r w:rsidR="00D822C3" w:rsidRPr="00F74355">
        <w:rPr>
          <w:b/>
          <w:sz w:val="28"/>
          <w:szCs w:val="28"/>
        </w:rPr>
        <w:t>Délai</w:t>
      </w:r>
      <w:r w:rsidRPr="00F74355">
        <w:rPr>
          <w:b/>
          <w:sz w:val="28"/>
          <w:szCs w:val="28"/>
        </w:rPr>
        <w:t xml:space="preserve"> de livraison</w:t>
      </w:r>
    </w:p>
    <w:p w:rsidR="006B4D9C" w:rsidRDefault="006B4D9C" w:rsidP="007C1F39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EC20C0">
        <w:rPr>
          <w:sz w:val="24"/>
          <w:szCs w:val="24"/>
        </w:rPr>
        <w:t xml:space="preserve">Livraison sur </w:t>
      </w:r>
      <w:r w:rsidR="0035249B" w:rsidRPr="00EC20C0">
        <w:rPr>
          <w:sz w:val="24"/>
          <w:szCs w:val="24"/>
        </w:rPr>
        <w:t>place au</w:t>
      </w:r>
      <w:r w:rsidRPr="00EC20C0">
        <w:rPr>
          <w:sz w:val="24"/>
          <w:szCs w:val="24"/>
        </w:rPr>
        <w:t xml:space="preserve"> représentant de </w:t>
      </w:r>
      <w:r w:rsidR="007C1F39">
        <w:rPr>
          <w:sz w:val="24"/>
          <w:szCs w:val="24"/>
        </w:rPr>
        <w:t>l’</w:t>
      </w:r>
      <w:r w:rsidRPr="00EC20C0">
        <w:rPr>
          <w:sz w:val="24"/>
          <w:szCs w:val="24"/>
        </w:rPr>
        <w:t xml:space="preserve">UCMIT après paiement </w:t>
      </w:r>
    </w:p>
    <w:p w:rsidR="00D75D35" w:rsidRPr="00EC20C0" w:rsidRDefault="00D75D35" w:rsidP="007C1F39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livraison se fait au plus tard dans les </w:t>
      </w:r>
      <w:r w:rsidR="00F22BCF">
        <w:rPr>
          <w:sz w:val="24"/>
          <w:szCs w:val="24"/>
        </w:rPr>
        <w:t>10</w:t>
      </w:r>
      <w:r w:rsidR="00AA7AE4">
        <w:rPr>
          <w:sz w:val="24"/>
          <w:szCs w:val="24"/>
        </w:rPr>
        <w:t xml:space="preserve"> JOURS </w:t>
      </w:r>
      <w:r>
        <w:rPr>
          <w:sz w:val="24"/>
          <w:szCs w:val="24"/>
        </w:rPr>
        <w:t>suivant la date du paiement</w:t>
      </w:r>
    </w:p>
    <w:p w:rsidR="006B4D9C" w:rsidRPr="00EC20C0" w:rsidRDefault="001E7051" w:rsidP="007C1F39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EC20C0">
        <w:rPr>
          <w:sz w:val="24"/>
          <w:szCs w:val="24"/>
        </w:rPr>
        <w:t>Matériels</w:t>
      </w:r>
      <w:r w:rsidR="006B4D9C" w:rsidRPr="00EC20C0">
        <w:rPr>
          <w:sz w:val="24"/>
          <w:szCs w:val="24"/>
        </w:rPr>
        <w:t xml:space="preserve"> bien </w:t>
      </w:r>
      <w:r w:rsidRPr="00EC20C0">
        <w:rPr>
          <w:sz w:val="24"/>
          <w:szCs w:val="24"/>
        </w:rPr>
        <w:t>emboités</w:t>
      </w:r>
      <w:r w:rsidR="006B4D9C" w:rsidRPr="00EC20C0">
        <w:rPr>
          <w:sz w:val="24"/>
          <w:szCs w:val="24"/>
        </w:rPr>
        <w:t xml:space="preserve"> de </w:t>
      </w:r>
      <w:r w:rsidRPr="00EC20C0">
        <w:rPr>
          <w:sz w:val="24"/>
          <w:szCs w:val="24"/>
        </w:rPr>
        <w:t>façonsécuritaire</w:t>
      </w:r>
      <w:r w:rsidR="006B4D9C" w:rsidRPr="00EC20C0">
        <w:rPr>
          <w:sz w:val="24"/>
          <w:szCs w:val="24"/>
        </w:rPr>
        <w:t xml:space="preserve"> avec tous les </w:t>
      </w:r>
      <w:r w:rsidRPr="00EC20C0">
        <w:rPr>
          <w:sz w:val="24"/>
          <w:szCs w:val="24"/>
        </w:rPr>
        <w:t>élémentsdécrits</w:t>
      </w:r>
      <w:r w:rsidR="006B4D9C" w:rsidRPr="00EC20C0">
        <w:rPr>
          <w:sz w:val="24"/>
          <w:szCs w:val="24"/>
        </w:rPr>
        <w:t xml:space="preserve"> dans la cotation</w:t>
      </w:r>
    </w:p>
    <w:p w:rsidR="001E7051" w:rsidRPr="00EC20C0" w:rsidRDefault="001E7051" w:rsidP="007C1F39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EC20C0">
        <w:rPr>
          <w:sz w:val="24"/>
          <w:szCs w:val="24"/>
        </w:rPr>
        <w:t>Vérification du nombre de boites et de leur contenu lors de la livraison</w:t>
      </w:r>
    </w:p>
    <w:p w:rsidR="00D531B7" w:rsidRPr="00EC20C0" w:rsidRDefault="001E7051" w:rsidP="007C1F39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EC20C0">
        <w:rPr>
          <w:sz w:val="24"/>
          <w:szCs w:val="24"/>
        </w:rPr>
        <w:t xml:space="preserve">Si transport offert par le fournisseur la vérification se fait lors de la livraison au bureau de </w:t>
      </w:r>
      <w:r w:rsidR="007C1F39">
        <w:rPr>
          <w:sz w:val="24"/>
          <w:szCs w:val="24"/>
        </w:rPr>
        <w:t>l’</w:t>
      </w:r>
      <w:r w:rsidRPr="00EC20C0">
        <w:rPr>
          <w:sz w:val="24"/>
          <w:szCs w:val="24"/>
        </w:rPr>
        <w:t>UCMIT</w:t>
      </w:r>
    </w:p>
    <w:p w:rsidR="00D822C3" w:rsidRPr="00D531B7" w:rsidRDefault="00AD3B55" w:rsidP="007C1F39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Aspectslégaux</w:t>
      </w:r>
      <w:r w:rsidR="00F74355" w:rsidRPr="00D531B7">
        <w:rPr>
          <w:b/>
          <w:sz w:val="28"/>
          <w:szCs w:val="28"/>
        </w:rPr>
        <w:t>/Réputation du fournisseur</w:t>
      </w:r>
    </w:p>
    <w:p w:rsidR="00582B15" w:rsidRDefault="00F74355" w:rsidP="007C1F39">
      <w:pPr>
        <w:jc w:val="both"/>
        <w:rPr>
          <w:sz w:val="24"/>
          <w:szCs w:val="24"/>
        </w:rPr>
      </w:pPr>
      <w:r>
        <w:rPr>
          <w:sz w:val="24"/>
          <w:szCs w:val="24"/>
        </w:rPr>
        <w:t>UCMIT,</w:t>
      </w:r>
      <w:r w:rsidR="00582B15">
        <w:rPr>
          <w:sz w:val="24"/>
          <w:szCs w:val="24"/>
        </w:rPr>
        <w:t xml:space="preserve"> en tant qu’</w:t>
      </w:r>
      <w:r>
        <w:rPr>
          <w:sz w:val="24"/>
          <w:szCs w:val="24"/>
        </w:rPr>
        <w:t>entitéétatique,</w:t>
      </w:r>
      <w:r w:rsidR="00582B15">
        <w:rPr>
          <w:sz w:val="24"/>
          <w:szCs w:val="24"/>
        </w:rPr>
        <w:t xml:space="preserve"> doit s’assure</w:t>
      </w:r>
      <w:r w:rsidR="001E7051">
        <w:rPr>
          <w:sz w:val="24"/>
          <w:szCs w:val="24"/>
        </w:rPr>
        <w:t>r</w:t>
      </w:r>
      <w:r w:rsidR="00582B15">
        <w:rPr>
          <w:sz w:val="24"/>
          <w:szCs w:val="24"/>
        </w:rPr>
        <w:t xml:space="preserve"> que les entreprises avec lesquelles elle fait des </w:t>
      </w:r>
      <w:r>
        <w:rPr>
          <w:sz w:val="24"/>
          <w:szCs w:val="24"/>
        </w:rPr>
        <w:t>transactions</w:t>
      </w:r>
      <w:r w:rsidR="00582B15">
        <w:rPr>
          <w:sz w:val="24"/>
          <w:szCs w:val="24"/>
        </w:rPr>
        <w:t xml:space="preserve"> sont </w:t>
      </w:r>
      <w:r>
        <w:rPr>
          <w:sz w:val="24"/>
          <w:szCs w:val="24"/>
        </w:rPr>
        <w:t>légalementenregistrées</w:t>
      </w:r>
      <w:r w:rsidR="00582B15">
        <w:rPr>
          <w:sz w:val="24"/>
          <w:szCs w:val="24"/>
        </w:rPr>
        <w:t xml:space="preserve"> et ne sont pas en contravention  avec les </w:t>
      </w:r>
      <w:r w:rsidR="001E7051">
        <w:rPr>
          <w:sz w:val="24"/>
          <w:szCs w:val="24"/>
        </w:rPr>
        <w:t>autorités. L’UCMIT tiendra compte des éléments d’information ci-dessous dans sa décision finale d’achat :</w:t>
      </w:r>
    </w:p>
    <w:p w:rsidR="00F74355" w:rsidRPr="00D10521" w:rsidRDefault="00F74355" w:rsidP="007C1F3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1E7051">
        <w:rPr>
          <w:sz w:val="24"/>
          <w:szCs w:val="24"/>
        </w:rPr>
        <w:t xml:space="preserve">Est-ce que l’entreprise à une patente de fonctionnement </w:t>
      </w:r>
      <w:r w:rsidR="001E7051" w:rsidRPr="001E7051">
        <w:rPr>
          <w:sz w:val="24"/>
          <w:szCs w:val="24"/>
        </w:rPr>
        <w:t>délivrée</w:t>
      </w:r>
      <w:r w:rsidRPr="001E7051">
        <w:rPr>
          <w:sz w:val="24"/>
          <w:szCs w:val="24"/>
        </w:rPr>
        <w:t xml:space="preserve"> par les autorités compétentes</w:t>
      </w:r>
    </w:p>
    <w:p w:rsidR="00F74355" w:rsidRPr="001E7051" w:rsidRDefault="00F74355" w:rsidP="007C1F3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1E7051">
        <w:rPr>
          <w:sz w:val="24"/>
          <w:szCs w:val="24"/>
        </w:rPr>
        <w:t xml:space="preserve">Est-ce que le fournisseur jouit d’une bonne réputation auprès de particuliers ou d’organisations de la </w:t>
      </w:r>
      <w:r w:rsidR="00D10521" w:rsidRPr="001E7051">
        <w:rPr>
          <w:sz w:val="24"/>
          <w:szCs w:val="24"/>
        </w:rPr>
        <w:t>place qui</w:t>
      </w:r>
      <w:r w:rsidR="001E7051" w:rsidRPr="001E7051">
        <w:rPr>
          <w:sz w:val="24"/>
          <w:szCs w:val="24"/>
        </w:rPr>
        <w:t xml:space="preserve">y ont </w:t>
      </w:r>
      <w:r w:rsidR="00D10521" w:rsidRPr="001E7051">
        <w:rPr>
          <w:sz w:val="24"/>
          <w:szCs w:val="24"/>
        </w:rPr>
        <w:t>déjà acheté</w:t>
      </w:r>
      <w:r w:rsidR="001E7051" w:rsidRPr="001E7051">
        <w:rPr>
          <w:sz w:val="24"/>
          <w:szCs w:val="24"/>
        </w:rPr>
        <w:t xml:space="preserve"> des </w:t>
      </w:r>
      <w:r w:rsidR="00D10521">
        <w:rPr>
          <w:sz w:val="24"/>
          <w:szCs w:val="24"/>
        </w:rPr>
        <w:t xml:space="preserve">produits </w:t>
      </w:r>
    </w:p>
    <w:p w:rsidR="000C423F" w:rsidRDefault="000C423F" w:rsidP="007C1F3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1E7051">
        <w:rPr>
          <w:sz w:val="24"/>
          <w:szCs w:val="24"/>
        </w:rPr>
        <w:t xml:space="preserve">Est-ce qu’il y a une enquête de </w:t>
      </w:r>
      <w:r w:rsidR="00D10521" w:rsidRPr="001E7051">
        <w:rPr>
          <w:sz w:val="24"/>
          <w:szCs w:val="24"/>
        </w:rPr>
        <w:t>satisfaction du</w:t>
      </w:r>
      <w:r w:rsidR="005C5B0E" w:rsidRPr="001E7051">
        <w:rPr>
          <w:sz w:val="24"/>
          <w:szCs w:val="24"/>
        </w:rPr>
        <w:t>personnel d’UCMIT qui est défavorable à l’entreprise par rapport à d’autres matériels achetés</w:t>
      </w:r>
      <w:r w:rsidRPr="001E7051">
        <w:rPr>
          <w:sz w:val="24"/>
          <w:szCs w:val="24"/>
        </w:rPr>
        <w:t xml:space="preserve"> ou services fournis anté</w:t>
      </w:r>
      <w:r w:rsidR="00472174">
        <w:rPr>
          <w:sz w:val="24"/>
          <w:szCs w:val="24"/>
        </w:rPr>
        <w:t>rieurement par ce fournisseur </w:t>
      </w:r>
    </w:p>
    <w:p w:rsidR="005D3ECA" w:rsidRPr="001E7051" w:rsidRDefault="005D3ECA" w:rsidP="007C1F39">
      <w:pPr>
        <w:pStyle w:val="ListParagraph"/>
        <w:jc w:val="both"/>
        <w:rPr>
          <w:sz w:val="24"/>
          <w:szCs w:val="24"/>
        </w:rPr>
      </w:pPr>
    </w:p>
    <w:p w:rsidR="00D822C3" w:rsidRPr="000C423F" w:rsidRDefault="003D2AD5" w:rsidP="007C1F39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C423F">
        <w:rPr>
          <w:b/>
          <w:sz w:val="28"/>
          <w:szCs w:val="28"/>
        </w:rPr>
        <w:t>Paiement</w:t>
      </w:r>
      <w:r w:rsidR="00D822C3" w:rsidRPr="000C423F">
        <w:rPr>
          <w:b/>
          <w:sz w:val="28"/>
          <w:szCs w:val="28"/>
        </w:rPr>
        <w:t xml:space="preserve">/Conditions de </w:t>
      </w:r>
      <w:r w:rsidRPr="000C423F">
        <w:rPr>
          <w:b/>
          <w:sz w:val="28"/>
          <w:szCs w:val="28"/>
        </w:rPr>
        <w:t>paiement</w:t>
      </w:r>
    </w:p>
    <w:p w:rsidR="00660E9C" w:rsidRDefault="00581C5C" w:rsidP="007C1F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méthode de paiement favorable à </w:t>
      </w:r>
      <w:r w:rsidR="007C1F39">
        <w:rPr>
          <w:sz w:val="24"/>
          <w:szCs w:val="24"/>
        </w:rPr>
        <w:t>l’</w:t>
      </w:r>
      <w:r>
        <w:rPr>
          <w:sz w:val="24"/>
          <w:szCs w:val="24"/>
        </w:rPr>
        <w:t xml:space="preserve">UCMIT pour ce matériel est paiement par </w:t>
      </w:r>
      <w:r w:rsidR="00D10521">
        <w:rPr>
          <w:sz w:val="24"/>
          <w:szCs w:val="24"/>
        </w:rPr>
        <w:t>chèque émis</w:t>
      </w:r>
      <w:r>
        <w:rPr>
          <w:sz w:val="24"/>
          <w:szCs w:val="24"/>
        </w:rPr>
        <w:t xml:space="preserve"> au nom de l’entreprise. L’entreprise doit communiquer dans la cotation  le  nom au profit duquel on doit émettre le chèque.</w:t>
      </w:r>
    </w:p>
    <w:p w:rsidR="00472174" w:rsidRDefault="00472174" w:rsidP="007C1F3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 monnaie de paiement est la gourde pour ce type de d’achat. Le </w:t>
      </w:r>
      <w:r w:rsidR="00E564C3">
        <w:rPr>
          <w:sz w:val="24"/>
          <w:szCs w:val="24"/>
        </w:rPr>
        <w:t>fournisseur</w:t>
      </w:r>
      <w:r>
        <w:rPr>
          <w:sz w:val="24"/>
          <w:szCs w:val="24"/>
        </w:rPr>
        <w:t xml:space="preserve"> doit donc soumettre </w:t>
      </w:r>
      <w:r w:rsidR="00F11418">
        <w:rPr>
          <w:sz w:val="24"/>
          <w:szCs w:val="24"/>
        </w:rPr>
        <w:t>la cotation en gourdes.</w:t>
      </w:r>
    </w:p>
    <w:p w:rsidR="00581C5C" w:rsidRPr="00EC20C0" w:rsidRDefault="007C1F39" w:rsidP="007C1F39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L’</w:t>
      </w:r>
      <w:r w:rsidR="00581C5C">
        <w:rPr>
          <w:sz w:val="24"/>
          <w:szCs w:val="24"/>
        </w:rPr>
        <w:t xml:space="preserve">UCMIT, étant une entité étatique délivrant des services de santé </w:t>
      </w:r>
      <w:r w:rsidR="00582B15">
        <w:rPr>
          <w:sz w:val="24"/>
          <w:szCs w:val="24"/>
        </w:rPr>
        <w:t>à</w:t>
      </w:r>
      <w:r w:rsidR="00581C5C">
        <w:rPr>
          <w:sz w:val="24"/>
          <w:szCs w:val="24"/>
        </w:rPr>
        <w:t xml:space="preserve"> la population</w:t>
      </w:r>
      <w:r w:rsidR="00D10521">
        <w:rPr>
          <w:sz w:val="24"/>
          <w:szCs w:val="24"/>
        </w:rPr>
        <w:t>,</w:t>
      </w:r>
      <w:r w:rsidR="00581C5C">
        <w:rPr>
          <w:sz w:val="24"/>
          <w:szCs w:val="24"/>
        </w:rPr>
        <w:t xml:space="preserve"> est exonéré</w:t>
      </w:r>
      <w:r>
        <w:rPr>
          <w:sz w:val="24"/>
          <w:szCs w:val="24"/>
        </w:rPr>
        <w:t>e</w:t>
      </w:r>
      <w:r w:rsidR="00581C5C">
        <w:rPr>
          <w:sz w:val="24"/>
          <w:szCs w:val="24"/>
        </w:rPr>
        <w:t xml:space="preserve"> des taxes. </w:t>
      </w:r>
      <w:r w:rsidR="00581C5C" w:rsidRPr="00EC20C0">
        <w:rPr>
          <w:b/>
          <w:bCs/>
          <w:sz w:val="24"/>
          <w:szCs w:val="24"/>
        </w:rPr>
        <w:t>Aucu</w:t>
      </w:r>
      <w:r w:rsidR="000E7310">
        <w:rPr>
          <w:b/>
          <w:bCs/>
          <w:sz w:val="24"/>
          <w:szCs w:val="24"/>
        </w:rPr>
        <w:t xml:space="preserve">ne </w:t>
      </w:r>
      <w:r w:rsidR="00581C5C" w:rsidRPr="00EC20C0">
        <w:rPr>
          <w:b/>
          <w:bCs/>
          <w:sz w:val="24"/>
          <w:szCs w:val="24"/>
        </w:rPr>
        <w:t xml:space="preserve">taxe </w:t>
      </w:r>
      <w:r w:rsidR="00EC20C0" w:rsidRPr="00EC20C0">
        <w:rPr>
          <w:b/>
          <w:bCs/>
          <w:sz w:val="24"/>
          <w:szCs w:val="24"/>
        </w:rPr>
        <w:t>(TCA) ne</w:t>
      </w:r>
      <w:r w:rsidR="00581C5C" w:rsidRPr="00EC20C0">
        <w:rPr>
          <w:b/>
          <w:bCs/>
          <w:sz w:val="24"/>
          <w:szCs w:val="24"/>
        </w:rPr>
        <w:t xml:space="preserve"> doit être ajouté</w:t>
      </w:r>
      <w:r w:rsidR="000E7310">
        <w:rPr>
          <w:b/>
          <w:bCs/>
          <w:sz w:val="24"/>
          <w:szCs w:val="24"/>
        </w:rPr>
        <w:t>e</w:t>
      </w:r>
      <w:r w:rsidR="00581C5C" w:rsidRPr="00EC20C0">
        <w:rPr>
          <w:b/>
          <w:bCs/>
          <w:sz w:val="24"/>
          <w:szCs w:val="24"/>
        </w:rPr>
        <w:t xml:space="preserve"> dans l</w:t>
      </w:r>
      <w:r w:rsidR="00EC20C0" w:rsidRPr="00EC20C0">
        <w:rPr>
          <w:b/>
          <w:bCs/>
          <w:sz w:val="24"/>
          <w:szCs w:val="24"/>
        </w:rPr>
        <w:t xml:space="preserve">a </w:t>
      </w:r>
      <w:r w:rsidR="00D75D35">
        <w:rPr>
          <w:b/>
          <w:bCs/>
          <w:sz w:val="24"/>
          <w:szCs w:val="24"/>
        </w:rPr>
        <w:t>cotation</w:t>
      </w:r>
      <w:r w:rsidR="00D13DD1" w:rsidRPr="00EC20C0">
        <w:rPr>
          <w:b/>
          <w:bCs/>
          <w:sz w:val="24"/>
          <w:szCs w:val="24"/>
        </w:rPr>
        <w:t>.</w:t>
      </w:r>
    </w:p>
    <w:p w:rsidR="00E55CE1" w:rsidRPr="00BB71CF" w:rsidRDefault="00582B15" w:rsidP="007C1F39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Apres paiement, en plus de la facture de paiement avec sceau </w:t>
      </w:r>
      <w:r w:rsidR="00D10521">
        <w:rPr>
          <w:sz w:val="24"/>
          <w:szCs w:val="24"/>
        </w:rPr>
        <w:t>payé</w:t>
      </w:r>
      <w:r>
        <w:rPr>
          <w:sz w:val="24"/>
          <w:szCs w:val="24"/>
        </w:rPr>
        <w:t xml:space="preserve"> de l’entreprise, l’entreprise doit </w:t>
      </w:r>
      <w:r w:rsidR="00EC20C0">
        <w:rPr>
          <w:sz w:val="24"/>
          <w:szCs w:val="24"/>
        </w:rPr>
        <w:t>donner</w:t>
      </w:r>
      <w:r>
        <w:rPr>
          <w:sz w:val="24"/>
          <w:szCs w:val="24"/>
        </w:rPr>
        <w:t xml:space="preserve"> à </w:t>
      </w:r>
      <w:r w:rsidR="007C1F39">
        <w:rPr>
          <w:sz w:val="24"/>
          <w:szCs w:val="24"/>
        </w:rPr>
        <w:t>l’</w:t>
      </w:r>
      <w:r>
        <w:rPr>
          <w:sz w:val="24"/>
          <w:szCs w:val="24"/>
        </w:rPr>
        <w:t>UCMIT une confirmation de garantie des services après-vente</w:t>
      </w:r>
      <w:r w:rsidR="00D13DD1">
        <w:rPr>
          <w:sz w:val="24"/>
          <w:szCs w:val="24"/>
        </w:rPr>
        <w:t>.</w:t>
      </w:r>
    </w:p>
    <w:p w:rsidR="008D0523" w:rsidRPr="00BB71CF" w:rsidRDefault="004F3C03" w:rsidP="007C1F39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B71CF">
        <w:rPr>
          <w:b/>
          <w:bCs/>
          <w:sz w:val="28"/>
          <w:szCs w:val="28"/>
        </w:rPr>
        <w:t>Constitution du</w:t>
      </w:r>
      <w:r w:rsidR="008D0523" w:rsidRPr="00BB71CF">
        <w:rPr>
          <w:b/>
          <w:bCs/>
          <w:sz w:val="28"/>
          <w:szCs w:val="28"/>
        </w:rPr>
        <w:t xml:space="preserve"> dossier</w:t>
      </w:r>
    </w:p>
    <w:p w:rsidR="008D0523" w:rsidRPr="004F3C03" w:rsidRDefault="004F3C03" w:rsidP="007C1F39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4F3C03">
        <w:rPr>
          <w:sz w:val="24"/>
          <w:szCs w:val="24"/>
        </w:rPr>
        <w:t>Cotations détaillées</w:t>
      </w:r>
      <w:r w:rsidR="008D0523" w:rsidRPr="004F3C03">
        <w:rPr>
          <w:sz w:val="24"/>
          <w:szCs w:val="24"/>
        </w:rPr>
        <w:t xml:space="preserve"> pour les deux types de matériels en gourdes</w:t>
      </w:r>
    </w:p>
    <w:p w:rsidR="008D0523" w:rsidRPr="004F3C03" w:rsidRDefault="008D0523" w:rsidP="007C1F39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4F3C03">
        <w:rPr>
          <w:sz w:val="24"/>
          <w:szCs w:val="24"/>
        </w:rPr>
        <w:t>Copie de la patente de fonctionnement</w:t>
      </w:r>
    </w:p>
    <w:p w:rsidR="00BB71CF" w:rsidRDefault="004F3C03" w:rsidP="007C1F39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4F3C03">
        <w:rPr>
          <w:sz w:val="24"/>
          <w:szCs w:val="24"/>
        </w:rPr>
        <w:t>Copie de matricule fiscale</w:t>
      </w:r>
    </w:p>
    <w:p w:rsidR="00BB71CF" w:rsidRDefault="00BB71CF" w:rsidP="007C1F39">
      <w:pPr>
        <w:pStyle w:val="ListParagraph"/>
        <w:jc w:val="both"/>
        <w:rPr>
          <w:sz w:val="24"/>
          <w:szCs w:val="24"/>
        </w:rPr>
      </w:pPr>
    </w:p>
    <w:p w:rsidR="00BB71CF" w:rsidRPr="00E81BBC" w:rsidRDefault="00BB71CF" w:rsidP="007C1F39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E81BBC">
        <w:rPr>
          <w:b/>
          <w:bCs/>
          <w:sz w:val="28"/>
          <w:szCs w:val="28"/>
        </w:rPr>
        <w:t>Critères d’évaluation et de sélection des fournisseurs</w:t>
      </w:r>
    </w:p>
    <w:p w:rsidR="00BB71CF" w:rsidRDefault="00BB71CF" w:rsidP="007C1F39">
      <w:pPr>
        <w:jc w:val="both"/>
        <w:rPr>
          <w:sz w:val="24"/>
          <w:szCs w:val="24"/>
        </w:rPr>
      </w:pPr>
      <w:r>
        <w:rPr>
          <w:sz w:val="24"/>
          <w:szCs w:val="24"/>
        </w:rPr>
        <w:t>Les dossiers des fournisseurs seront évalués suivant les critères ci-dessous.</w:t>
      </w:r>
    </w:p>
    <w:p w:rsidR="00BB71CF" w:rsidRPr="00E81BBC" w:rsidRDefault="00BB71CF" w:rsidP="007C1F39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E81BBC">
        <w:rPr>
          <w:sz w:val="24"/>
          <w:szCs w:val="24"/>
        </w:rPr>
        <w:t>La correspondance des matériels présentés dans les cotations par rapport aux descriptions technique</w:t>
      </w:r>
    </w:p>
    <w:p w:rsidR="00BB71CF" w:rsidRPr="00E81BBC" w:rsidRDefault="00BB71CF" w:rsidP="007C1F39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E81BBC">
        <w:rPr>
          <w:sz w:val="24"/>
          <w:szCs w:val="24"/>
        </w:rPr>
        <w:t>La qualité des matériels (marque, solidité, durabilité)</w:t>
      </w:r>
    </w:p>
    <w:p w:rsidR="00BB71CF" w:rsidRPr="00E81BBC" w:rsidRDefault="00BB71CF" w:rsidP="007C1F39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E81BBC">
        <w:rPr>
          <w:sz w:val="24"/>
          <w:szCs w:val="24"/>
        </w:rPr>
        <w:t>Le prix des matériels par rapport au prix de ces matériels sur le marché, toutes proportions gardées</w:t>
      </w:r>
    </w:p>
    <w:p w:rsidR="00BB71CF" w:rsidRPr="00293C8F" w:rsidRDefault="00BB71CF" w:rsidP="007C1F39">
      <w:pPr>
        <w:pStyle w:val="ListParagraph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 w:rsidRPr="00E81BBC">
        <w:rPr>
          <w:sz w:val="24"/>
          <w:szCs w:val="24"/>
        </w:rPr>
        <w:t>Le score du fournisseur par rapport aux autres critères mentionnés dans les termes de références (délai de livraison, réputation, constitution du dossier, aspects légaux, acceptation des conditions de paiement, etc.)</w:t>
      </w:r>
    </w:p>
    <w:p w:rsidR="00BB71CF" w:rsidRPr="00293C8F" w:rsidRDefault="00BB71CF" w:rsidP="007C1F39">
      <w:pPr>
        <w:jc w:val="both"/>
        <w:rPr>
          <w:b/>
          <w:bCs/>
          <w:sz w:val="24"/>
          <w:szCs w:val="24"/>
        </w:rPr>
      </w:pPr>
    </w:p>
    <w:p w:rsidR="005D3ECA" w:rsidRPr="00293C8F" w:rsidRDefault="005D3ECA" w:rsidP="007C1F39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293C8F">
        <w:rPr>
          <w:b/>
          <w:bCs/>
          <w:sz w:val="28"/>
          <w:szCs w:val="28"/>
        </w:rPr>
        <w:t>Soumission du dossier d’application</w:t>
      </w:r>
    </w:p>
    <w:p w:rsidR="005D3ECA" w:rsidRDefault="005D3ECA" w:rsidP="007C1F39">
      <w:pPr>
        <w:jc w:val="both"/>
        <w:rPr>
          <w:sz w:val="24"/>
          <w:szCs w:val="24"/>
        </w:rPr>
      </w:pPr>
      <w:r w:rsidRPr="00F749E9">
        <w:rPr>
          <w:sz w:val="24"/>
          <w:szCs w:val="24"/>
        </w:rPr>
        <w:t>L</w:t>
      </w:r>
      <w:r>
        <w:rPr>
          <w:sz w:val="24"/>
          <w:szCs w:val="24"/>
        </w:rPr>
        <w:t xml:space="preserve">es fournisseurs intéressés peuvent soumettre leur dossier contenant les documents listés pour la composition du dossier, dans une enveloppe avec mention ‘’ Acquisition de </w:t>
      </w:r>
      <w:r w:rsidR="00293C8F">
        <w:rPr>
          <w:sz w:val="24"/>
          <w:szCs w:val="24"/>
        </w:rPr>
        <w:t xml:space="preserve">Matériels Médicaux PNLT </w:t>
      </w:r>
      <w:r w:rsidR="007C1F39">
        <w:rPr>
          <w:sz w:val="24"/>
          <w:szCs w:val="24"/>
        </w:rPr>
        <w:t>’’ à</w:t>
      </w:r>
      <w:r>
        <w:rPr>
          <w:sz w:val="24"/>
          <w:szCs w:val="24"/>
        </w:rPr>
        <w:t xml:space="preserve"> la réception de </w:t>
      </w:r>
      <w:r w:rsidR="007C1F39">
        <w:rPr>
          <w:sz w:val="24"/>
          <w:szCs w:val="24"/>
        </w:rPr>
        <w:t>l’</w:t>
      </w:r>
      <w:r>
        <w:rPr>
          <w:sz w:val="24"/>
          <w:szCs w:val="24"/>
        </w:rPr>
        <w:t xml:space="preserve">UCMIT sis </w:t>
      </w:r>
      <w:r w:rsidRPr="00F749E9">
        <w:rPr>
          <w:sz w:val="24"/>
          <w:szCs w:val="24"/>
        </w:rPr>
        <w:t>au</w:t>
      </w:r>
      <w:r w:rsidR="007C1F39">
        <w:rPr>
          <w:sz w:val="24"/>
          <w:szCs w:val="24"/>
        </w:rPr>
        <w:t xml:space="preserve"> No</w:t>
      </w:r>
      <w:r w:rsidRPr="00F749E9">
        <w:rPr>
          <w:sz w:val="24"/>
          <w:szCs w:val="24"/>
        </w:rPr>
        <w:t xml:space="preserve"> 17, Rue D</w:t>
      </w:r>
      <w:r>
        <w:rPr>
          <w:sz w:val="24"/>
          <w:szCs w:val="24"/>
        </w:rPr>
        <w:t>ar</w:t>
      </w:r>
      <w:r w:rsidRPr="00F749E9">
        <w:rPr>
          <w:sz w:val="24"/>
          <w:szCs w:val="24"/>
        </w:rPr>
        <w:t>guin , Petion</w:t>
      </w:r>
      <w:r w:rsidR="007C1F39">
        <w:rPr>
          <w:sz w:val="24"/>
          <w:szCs w:val="24"/>
        </w:rPr>
        <w:t>-</w:t>
      </w:r>
      <w:r w:rsidRPr="00F749E9">
        <w:rPr>
          <w:sz w:val="24"/>
          <w:szCs w:val="24"/>
        </w:rPr>
        <w:t xml:space="preserve">ville, Haiti au plus tard </w:t>
      </w:r>
      <w:r>
        <w:rPr>
          <w:sz w:val="24"/>
          <w:szCs w:val="24"/>
        </w:rPr>
        <w:t xml:space="preserve"> le </w:t>
      </w:r>
      <w:r w:rsidR="007C1F39">
        <w:rPr>
          <w:sz w:val="24"/>
          <w:szCs w:val="24"/>
        </w:rPr>
        <w:t>10 mai2022 avant 4</w:t>
      </w:r>
      <w:r w:rsidRPr="00F749E9">
        <w:rPr>
          <w:sz w:val="24"/>
          <w:szCs w:val="24"/>
        </w:rPr>
        <w:t>:00 Pm.</w:t>
      </w:r>
    </w:p>
    <w:p w:rsidR="004F3C03" w:rsidRDefault="004F3C03" w:rsidP="007C1F39">
      <w:pPr>
        <w:jc w:val="both"/>
        <w:rPr>
          <w:sz w:val="24"/>
          <w:szCs w:val="24"/>
        </w:rPr>
      </w:pPr>
    </w:p>
    <w:p w:rsidR="004F3C03" w:rsidRPr="004F3C03" w:rsidRDefault="004F3C03" w:rsidP="007C1F39">
      <w:pPr>
        <w:jc w:val="both"/>
        <w:rPr>
          <w:sz w:val="24"/>
          <w:szCs w:val="24"/>
        </w:rPr>
      </w:pPr>
    </w:p>
    <w:p w:rsidR="008D0523" w:rsidRDefault="008D0523" w:rsidP="007C1F39">
      <w:pPr>
        <w:jc w:val="both"/>
      </w:pPr>
    </w:p>
    <w:p w:rsidR="006D6606" w:rsidRDefault="006D6606" w:rsidP="007C1F39">
      <w:pPr>
        <w:jc w:val="both"/>
      </w:pPr>
    </w:p>
    <w:sectPr w:rsidR="006D6606" w:rsidSect="00AD1DB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4E1" w:rsidRDefault="008434E1" w:rsidP="00293C8F">
      <w:pPr>
        <w:spacing w:after="0" w:line="240" w:lineRule="auto"/>
      </w:pPr>
      <w:r>
        <w:separator/>
      </w:r>
    </w:p>
  </w:endnote>
  <w:endnote w:type="continuationSeparator" w:id="1">
    <w:p w:rsidR="008434E1" w:rsidRDefault="008434E1" w:rsidP="0029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4E1" w:rsidRDefault="008434E1" w:rsidP="00293C8F">
      <w:pPr>
        <w:spacing w:after="0" w:line="240" w:lineRule="auto"/>
      </w:pPr>
      <w:r>
        <w:separator/>
      </w:r>
    </w:p>
  </w:footnote>
  <w:footnote w:type="continuationSeparator" w:id="1">
    <w:p w:rsidR="008434E1" w:rsidRDefault="008434E1" w:rsidP="00293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48485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93C8F" w:rsidRDefault="00CF605C">
        <w:pPr>
          <w:pStyle w:val="Header"/>
          <w:jc w:val="right"/>
        </w:pPr>
        <w:r>
          <w:fldChar w:fldCharType="begin"/>
        </w:r>
        <w:r w:rsidR="00293C8F">
          <w:instrText xml:space="preserve"> PAGE   \* MERGEFORMAT </w:instrText>
        </w:r>
        <w:r>
          <w:fldChar w:fldCharType="separate"/>
        </w:r>
        <w:r w:rsidR="00F22B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3C8F" w:rsidRDefault="00293C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1015"/>
    <w:multiLevelType w:val="hybridMultilevel"/>
    <w:tmpl w:val="42505D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92770"/>
    <w:multiLevelType w:val="hybridMultilevel"/>
    <w:tmpl w:val="62B4FD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D7E67"/>
    <w:multiLevelType w:val="hybridMultilevel"/>
    <w:tmpl w:val="0A244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B413E"/>
    <w:multiLevelType w:val="hybridMultilevel"/>
    <w:tmpl w:val="4D6CBA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21CCD"/>
    <w:multiLevelType w:val="hybridMultilevel"/>
    <w:tmpl w:val="37A07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35365"/>
    <w:multiLevelType w:val="hybridMultilevel"/>
    <w:tmpl w:val="1EFCF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E694F"/>
    <w:multiLevelType w:val="hybridMultilevel"/>
    <w:tmpl w:val="9DB82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73047"/>
    <w:multiLevelType w:val="hybridMultilevel"/>
    <w:tmpl w:val="AF5499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45890"/>
    <w:multiLevelType w:val="hybridMultilevel"/>
    <w:tmpl w:val="B5E0FA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F024A"/>
    <w:multiLevelType w:val="hybridMultilevel"/>
    <w:tmpl w:val="12022D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24B47"/>
    <w:multiLevelType w:val="hybridMultilevel"/>
    <w:tmpl w:val="5DDE69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9375B"/>
    <w:multiLevelType w:val="hybridMultilevel"/>
    <w:tmpl w:val="A474A8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12EE6"/>
    <w:multiLevelType w:val="hybridMultilevel"/>
    <w:tmpl w:val="4614D9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D97"/>
    <w:rsid w:val="000329CF"/>
    <w:rsid w:val="000429F0"/>
    <w:rsid w:val="00086683"/>
    <w:rsid w:val="000C423F"/>
    <w:rsid w:val="000D2450"/>
    <w:rsid w:val="000E7310"/>
    <w:rsid w:val="000F00D1"/>
    <w:rsid w:val="00142836"/>
    <w:rsid w:val="00164677"/>
    <w:rsid w:val="001724E5"/>
    <w:rsid w:val="001815F1"/>
    <w:rsid w:val="00197BD5"/>
    <w:rsid w:val="001E7051"/>
    <w:rsid w:val="0023457D"/>
    <w:rsid w:val="00293C8F"/>
    <w:rsid w:val="00332CFD"/>
    <w:rsid w:val="00347048"/>
    <w:rsid w:val="0035249B"/>
    <w:rsid w:val="00357A66"/>
    <w:rsid w:val="00364C5D"/>
    <w:rsid w:val="003D2AD5"/>
    <w:rsid w:val="003D41D8"/>
    <w:rsid w:val="003D66CF"/>
    <w:rsid w:val="00472174"/>
    <w:rsid w:val="004735AA"/>
    <w:rsid w:val="004E58A5"/>
    <w:rsid w:val="004F3C03"/>
    <w:rsid w:val="004F7C16"/>
    <w:rsid w:val="00547AAC"/>
    <w:rsid w:val="00581C5C"/>
    <w:rsid w:val="00582B15"/>
    <w:rsid w:val="00594977"/>
    <w:rsid w:val="005B2C3A"/>
    <w:rsid w:val="005C5B0E"/>
    <w:rsid w:val="005D3ECA"/>
    <w:rsid w:val="005D5EE9"/>
    <w:rsid w:val="00657E35"/>
    <w:rsid w:val="00660E9C"/>
    <w:rsid w:val="00671D97"/>
    <w:rsid w:val="006B4D9C"/>
    <w:rsid w:val="006D6606"/>
    <w:rsid w:val="006E2D9F"/>
    <w:rsid w:val="00733930"/>
    <w:rsid w:val="0079609F"/>
    <w:rsid w:val="007C1F39"/>
    <w:rsid w:val="008001B8"/>
    <w:rsid w:val="00815D66"/>
    <w:rsid w:val="008434E1"/>
    <w:rsid w:val="00860FDD"/>
    <w:rsid w:val="00876FBB"/>
    <w:rsid w:val="008D0523"/>
    <w:rsid w:val="008F4CA4"/>
    <w:rsid w:val="00A32405"/>
    <w:rsid w:val="00A93D36"/>
    <w:rsid w:val="00AA7AE4"/>
    <w:rsid w:val="00AB07FD"/>
    <w:rsid w:val="00AD1DB5"/>
    <w:rsid w:val="00AD3B55"/>
    <w:rsid w:val="00AF0D12"/>
    <w:rsid w:val="00B62EF1"/>
    <w:rsid w:val="00BB71CF"/>
    <w:rsid w:val="00C10ADF"/>
    <w:rsid w:val="00C505D6"/>
    <w:rsid w:val="00CF605C"/>
    <w:rsid w:val="00D10521"/>
    <w:rsid w:val="00D13DD1"/>
    <w:rsid w:val="00D14904"/>
    <w:rsid w:val="00D531B7"/>
    <w:rsid w:val="00D5564F"/>
    <w:rsid w:val="00D75D35"/>
    <w:rsid w:val="00D822C3"/>
    <w:rsid w:val="00D857A9"/>
    <w:rsid w:val="00DA2638"/>
    <w:rsid w:val="00DE220A"/>
    <w:rsid w:val="00E36C3D"/>
    <w:rsid w:val="00E55CE1"/>
    <w:rsid w:val="00E564C3"/>
    <w:rsid w:val="00E72F70"/>
    <w:rsid w:val="00EC20C0"/>
    <w:rsid w:val="00F11418"/>
    <w:rsid w:val="00F1250E"/>
    <w:rsid w:val="00F22BCF"/>
    <w:rsid w:val="00F7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DB5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D9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71D97"/>
  </w:style>
  <w:style w:type="table" w:styleId="TableGrid">
    <w:name w:val="Table Grid"/>
    <w:basedOn w:val="TableNormal"/>
    <w:uiPriority w:val="59"/>
    <w:rsid w:val="0018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6C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3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C8F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930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D9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71D97"/>
  </w:style>
  <w:style w:type="table" w:styleId="TableGrid">
    <w:name w:val="Table Grid"/>
    <w:basedOn w:val="TableNormal"/>
    <w:uiPriority w:val="59"/>
    <w:rsid w:val="0018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6C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3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C8F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930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</cp:lastModifiedBy>
  <cp:revision>6</cp:revision>
  <cp:lastPrinted>2022-04-27T17:05:00Z</cp:lastPrinted>
  <dcterms:created xsi:type="dcterms:W3CDTF">2022-04-27T17:02:00Z</dcterms:created>
  <dcterms:modified xsi:type="dcterms:W3CDTF">2022-04-27T18:38:00Z</dcterms:modified>
</cp:coreProperties>
</file>