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2" w:type="dxa"/>
        <w:tblInd w:w="-540" w:type="dxa"/>
        <w:tblLook w:val="04A0" w:firstRow="1" w:lastRow="0" w:firstColumn="1" w:lastColumn="0" w:noHBand="0" w:noVBand="1"/>
      </w:tblPr>
      <w:tblGrid>
        <w:gridCol w:w="1020"/>
        <w:gridCol w:w="7360"/>
        <w:gridCol w:w="1020"/>
        <w:gridCol w:w="662"/>
      </w:tblGrid>
      <w:tr w:rsidR="00291DEC" w:rsidRPr="00B5474B" w14:paraId="35CBDD35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AF17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 xml:space="preserve">    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E3819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  <w:lang w:val="fr-FR"/>
              </w:rPr>
              <w:t xml:space="preserve">               CADRE </w:t>
            </w:r>
            <w:proofErr w:type="gramStart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  <w:lang w:val="fr-FR"/>
              </w:rPr>
              <w:t>du  BORDEREAU</w:t>
            </w:r>
            <w:proofErr w:type="gramEnd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  <w:lang w:val="fr-FR"/>
              </w:rPr>
              <w:t xml:space="preserve"> DES PRIX UNITAIRES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AF710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14CE" w14:textId="77777777" w:rsidR="00291DEC" w:rsidRPr="00E730F3" w:rsidRDefault="00291DEC" w:rsidP="00973D13">
            <w:pPr>
              <w:rPr>
                <w:rFonts w:ascii="Gill Sans MT" w:hAnsi="Gill Sans MT"/>
                <w:sz w:val="20"/>
                <w:lang w:val="fr-FR"/>
              </w:rPr>
            </w:pPr>
          </w:p>
        </w:tc>
      </w:tr>
      <w:tr w:rsidR="00291DEC" w:rsidRPr="00E730F3" w14:paraId="5B942875" w14:textId="77777777" w:rsidTr="00973D13">
        <w:trPr>
          <w:trHeight w:val="608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68F200D6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No</w:t>
            </w:r>
          </w:p>
        </w:tc>
        <w:tc>
          <w:tcPr>
            <w:tcW w:w="7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2716EFA1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Designation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35F3BDD1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proofErr w:type="spellStart"/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Unité</w:t>
            </w:r>
            <w:proofErr w:type="spellEnd"/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62C5DBF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PU</w:t>
            </w:r>
          </w:p>
        </w:tc>
      </w:tr>
      <w:tr w:rsidR="00291DEC" w:rsidRPr="00E730F3" w14:paraId="6FA01E36" w14:textId="77777777" w:rsidTr="00973D13">
        <w:trPr>
          <w:trHeight w:val="308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0444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</w:p>
        </w:tc>
        <w:tc>
          <w:tcPr>
            <w:tcW w:w="7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D96E5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A223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03764"/>
            <w:vAlign w:val="center"/>
            <w:hideMark/>
          </w:tcPr>
          <w:p w14:paraId="1E52F57A" w14:textId="77777777" w:rsidR="00291DEC" w:rsidRPr="00E730F3" w:rsidRDefault="00291DEC" w:rsidP="00973D13">
            <w:pPr>
              <w:ind w:right="-10"/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USD</w:t>
            </w:r>
          </w:p>
        </w:tc>
      </w:tr>
      <w:tr w:rsidR="00291DEC" w:rsidRPr="00E730F3" w14:paraId="6135C807" w14:textId="77777777" w:rsidTr="00973D13">
        <w:trPr>
          <w:trHeight w:val="30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F619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II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2048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i/>
                <w:iCs/>
                <w:color w:val="000000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i/>
                <w:iCs/>
                <w:color w:val="000000"/>
                <w:sz w:val="20"/>
              </w:rPr>
              <w:t xml:space="preserve">FOURNITURE DE CANALISATIONS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461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DBB0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 </w:t>
            </w:r>
          </w:p>
        </w:tc>
      </w:tr>
      <w:tr w:rsidR="00291DEC" w:rsidRPr="00E730F3" w14:paraId="05DC5C40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8D4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I.1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2F93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Conduite PEHD de polyéthylène PE-100 de haute densité, PN10, DN 110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mm.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F7D7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ml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E07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82162BF" w14:textId="77777777" w:rsidTr="00973D13">
        <w:trPr>
          <w:trHeight w:val="18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BB20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8CE6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Fourniture de conduite diamètre 110 mm en polyéthylène de haute densité (PEHD) de type PE-4710 ASTM F714/D3035 AWWA C901 NSF-SDR </w:t>
            </w: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17,EN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12201-2  ou similaire  conformément aux spécifications techniques pour soudure par électro-soudage, PN10. Y compris manchons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électrosoudables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nécessaires pour l’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assamblage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. 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  <w:t xml:space="preserve">Ce prix s'applique au mètre linéaire                                                                                         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  <w:t xml:space="preserve">Prix En Lettres :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2643C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3B7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291DEC" w:rsidRPr="00E730F3" w14:paraId="7E9DA190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2D8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I.2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D5C5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Conduite PEHD de polyéthylène PE-100 de haute densité DN 63 mm    PN10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CA70A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ml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0E2E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1DF4739" w14:textId="77777777" w:rsidTr="00973D13">
        <w:trPr>
          <w:trHeight w:val="225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15D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7F3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Fourniture de conduite diamètre 63 mm en polyéthylène de haute densité (PEHD) de type PE-4710 ASTM F714/D3035 AWWA C901 NSF-SDR </w:t>
            </w: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17,EN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12201-2  ou similaire  conformément aux spécifications techniques pour soudure par électro-soudage, PN10. Y compris manchons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électrosoudables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nécessaires pour l’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assamblage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. Fournie en Barre 12ml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  <w:t xml:space="preserve">Ce prix s'applique au mètre linéaire                                                                                         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  <w:t xml:space="preserve">Prix En Lettres :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F9F0B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573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291DEC" w:rsidRPr="00E730F3" w14:paraId="1E29D5AA" w14:textId="77777777" w:rsidTr="00973D13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2DA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I.3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102C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Conduite PEHD de polyéthylène PE-100 de haute </w:t>
            </w: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densité,  DN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=225 mm, PN=10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3E69A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ml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942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9D96112" w14:textId="77777777" w:rsidTr="00973D13">
        <w:trPr>
          <w:trHeight w:val="225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912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B806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Fourniture de conduite diamètre 225 mm en polyéthylène de haute densité (PEHD) de type PE-4710 ASTM F714/D3035 AWWA C901 NSF-SDR </w:t>
            </w: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17,EN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12201-2  ou similaire  conformément aux spécifications techniques pour soudure par électro-soudage, PN10. Y compris manchons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électrosoudables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nécessaires pour l’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assamblage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. Fournie en Barre 12ml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  <w:t xml:space="preserve">Ce prix s'applique au mètre linéaire                                                                                         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  <w:t xml:space="preserve">Prix En Lettres :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A7B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1AA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291DEC" w:rsidRPr="00E730F3" w14:paraId="5B51DEB7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DE3E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I.4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CF23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Conduite PEHD de polyéthylène PE-100 de haute densité, DN=160 mm, PN=10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49433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ml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6442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2183E722" w14:textId="77777777" w:rsidTr="00973D13">
        <w:trPr>
          <w:trHeight w:val="225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FC0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77C4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Fourniture de conduite diamètre 160 mm en polyéthylène de haute densité (PEHD) de type PE-4710 ASTM F714/D3035 AWWA C901 NSF-SDR </w:t>
            </w: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17,EN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12201-2  ou similaire  conformément aux spécifications techniques pour soudure par électro-soudage, PN10. Y compris manchons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électrosoudables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nécessaires pour l’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assamblage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. Fournie en Barre 12ml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  <w:t xml:space="preserve">Ce prix s'applique au mètre linéaire                                                                                         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  <w:t xml:space="preserve">Prix En Lettres :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8804C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B3C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291DEC" w:rsidRPr="00E730F3" w14:paraId="442B248D" w14:textId="77777777" w:rsidTr="00973D13">
        <w:trPr>
          <w:trHeight w:val="30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D74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II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D5CB1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0"/>
                <w:lang w:val="fr-FR"/>
              </w:rPr>
            </w:pPr>
            <w:r w:rsidRPr="00E730F3">
              <w:rPr>
                <w:rFonts w:ascii="Gill Sans MT" w:hAnsi="Gill Sans MT" w:cs="Calibri"/>
                <w:b/>
                <w:bCs/>
                <w:color w:val="000000"/>
                <w:sz w:val="20"/>
                <w:lang w:val="fr-FR"/>
              </w:rPr>
              <w:t>FOURNITURE PIÈCES DE RACCORD ET PIECES SPECIALES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B7FD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  <w:lang w:val="fr-FR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  <w:lang w:val="fr-FR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158B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  <w:lang w:val="fr-FR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  <w:lang w:val="fr-FR"/>
              </w:rPr>
              <w:t> </w:t>
            </w:r>
          </w:p>
        </w:tc>
      </w:tr>
      <w:tr w:rsidR="00291DEC" w:rsidRPr="00E730F3" w14:paraId="0E14540C" w14:textId="77777777" w:rsidTr="00973D13">
        <w:trPr>
          <w:trHeight w:val="30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11C2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  <w:lang w:val="fr-FR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  <w:lang w:val="fr-FR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25D4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0"/>
              </w:rPr>
            </w:pP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0"/>
              </w:rPr>
              <w:t>Fourniture</w:t>
            </w:r>
            <w:proofErr w:type="spellEnd"/>
            <w:r w:rsidRPr="00E730F3">
              <w:rPr>
                <w:rFonts w:ascii="Gill Sans MT" w:hAnsi="Gill Sans MT" w:cs="Calibri"/>
                <w:b/>
                <w:bCs/>
                <w:color w:val="000000"/>
                <w:sz w:val="20"/>
              </w:rPr>
              <w:t xml:space="preserve"> de </w:t>
            </w: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0"/>
              </w:rPr>
              <w:t>Manchon</w:t>
            </w:r>
            <w:proofErr w:type="spellEnd"/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1481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4E37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b/>
                <w:bCs/>
                <w:color w:val="FFFFFF"/>
                <w:sz w:val="20"/>
              </w:rPr>
            </w:pPr>
            <w:r w:rsidRPr="00E730F3">
              <w:rPr>
                <w:rFonts w:ascii="Gill Sans MT" w:hAnsi="Gill Sans MT" w:cs="Calibri"/>
                <w:b/>
                <w:bCs/>
                <w:color w:val="FFFFFF"/>
                <w:sz w:val="20"/>
              </w:rPr>
              <w:t> </w:t>
            </w:r>
          </w:p>
        </w:tc>
      </w:tr>
      <w:tr w:rsidR="00291DEC" w:rsidRPr="00E730F3" w14:paraId="143DF0AE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0F7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lastRenderedPageBreak/>
              <w:t>II.1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2865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Manchon  Universel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 en fonte ductile DN 4"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AAF2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0E3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55954C3" w14:textId="77777777" w:rsidTr="00973D13">
        <w:trPr>
          <w:trHeight w:val="157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0C7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709F9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conformément aux spécifications techniques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 xml:space="preserve">de 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machon</w:t>
            </w:r>
            <w:proofErr w:type="spellEnd"/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universel  en Fonte Ductile DN 110,  revêtement époxy cataphorèse, PN 16, joint EPDM et boulonnerie en acier, ainsi que la fourniture de tous les éléments nécessaires à leur assemblage.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Toutes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sujétions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incluses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      </w:t>
            </w:r>
            <w:r w:rsidRPr="00E730F3">
              <w:rPr>
                <w:rFonts w:ascii="Gill Sans MT" w:hAnsi="Gill Sans MT"/>
                <w:sz w:val="20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.                                                                                                                    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8B3E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B80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003C50ED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A3B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68C7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Manchon </w:t>
            </w: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Universel  DN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4" pour conduite PE.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2A69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EA1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9CFF03E" w14:textId="77777777" w:rsidTr="00973D13">
        <w:trPr>
          <w:trHeight w:val="157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474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02499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conformément aux spécifications techniques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 xml:space="preserve">de 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machon</w:t>
            </w:r>
            <w:proofErr w:type="spellEnd"/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universel  en Fonte Ductile DN 110,  revêtement époxy cataphorèse, PN 16, joint EPDM et boulonnerie en acier, ainsi que la fourniture de tous les éléments nécessaires à leur assemblage.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Toutes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sujétions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incluses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      </w:t>
            </w:r>
            <w:r w:rsidRPr="00E730F3">
              <w:rPr>
                <w:rFonts w:ascii="Gill Sans MT" w:hAnsi="Gill Sans MT"/>
                <w:sz w:val="20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.                                                                                                                    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AD1D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1FD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57F78AD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476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FBD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Manchon </w:t>
            </w: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PE  compression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63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CE3E2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363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EE43CC3" w14:textId="77777777" w:rsidTr="00973D13">
        <w:trPr>
          <w:trHeight w:val="129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747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2D1F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de Manchon en PEHD à compression pour le raccordement de conduite de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diametre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63.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L'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unite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Prix en lettres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E333E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C00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291DEC" w:rsidRPr="00E730F3" w14:paraId="569F7EF5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EBB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EB46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Manchon PE compression 110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AD27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084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227B5566" w14:textId="77777777" w:rsidTr="00973D13">
        <w:trPr>
          <w:trHeight w:val="129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695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2FE3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de Manchon en PEHD à compression pour le raccordement de conduite de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diametre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110mm.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L'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unite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Prix en lettres 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BA94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B2D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291DEC" w:rsidRPr="00E730F3" w14:paraId="30C297BC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FBC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II.5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3C7D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Manchon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Universel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 DN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2"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600A1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20E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CA0CFCE" w14:textId="77777777" w:rsidTr="00973D13">
        <w:trPr>
          <w:trHeight w:val="157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3E24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EB73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conformément aux spécifications techniques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 xml:space="preserve">de 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machon</w:t>
            </w:r>
            <w:proofErr w:type="spellEnd"/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universel  en Fonte Ductile DN50,  revêtement époxy cataphorèse, PN 16, joint EPDM et boulonnerie en acier, ainsi que la fourniture de tous les éléments nécessaires à leur assemblage.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Toutes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sujétions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incluses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      </w:t>
            </w:r>
            <w:r w:rsidRPr="00E730F3">
              <w:rPr>
                <w:rFonts w:ascii="Gill Sans MT" w:hAnsi="Gill Sans MT"/>
                <w:sz w:val="20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.                                                                                                                    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45CB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AC5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FDE5619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020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II.6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B70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Manchon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Universel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 DN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200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73FF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C44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F860A8F" w14:textId="77777777" w:rsidTr="00973D13">
        <w:trPr>
          <w:trHeight w:val="157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9E9C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B4CE5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conformément aux spécifications techniques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 xml:space="preserve">de 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machon</w:t>
            </w:r>
            <w:proofErr w:type="spellEnd"/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universel  en Fonte Ductile DN200mm,  revêtement époxy cataphorèse, PN 16, joint EPDM et boulonnerie en acier, ainsi que la fourniture de tous les éléments nécessaires à leur assemblage.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Toutes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sujétions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incluses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      </w:t>
            </w:r>
            <w:r w:rsidRPr="00E730F3">
              <w:rPr>
                <w:rFonts w:ascii="Gill Sans MT" w:hAnsi="Gill Sans MT"/>
                <w:sz w:val="20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.                                                                                                                    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A47D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2B3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502E3B6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F14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82F3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Manchon fonte pour PEHD DN 225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7B6A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5AB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6A681DA" w14:textId="77777777" w:rsidTr="00973D13">
        <w:trPr>
          <w:trHeight w:val="157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B70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84F66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conformément aux spécifications techniques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 xml:space="preserve">de 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machon</w:t>
            </w:r>
            <w:proofErr w:type="spellEnd"/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  en Fonte Ductile DN 225 mm   revêtement époxy cataphorèse, PN 16, joint EPDM et boulonnerie en acier, ainsi que la fourniture de tous les éléments nécessaires à leur assemblage.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Toutes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sujétions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incluses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      </w:t>
            </w:r>
            <w:r w:rsidRPr="00E730F3">
              <w:rPr>
                <w:rFonts w:ascii="Gill Sans MT" w:hAnsi="Gill Sans MT"/>
                <w:sz w:val="20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.                                                                                                                    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DD4F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171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7754394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552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lastRenderedPageBreak/>
              <w:t>II.8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5B2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Manchon  universel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en fonte ductile DN  6</w:t>
            </w:r>
            <w:r w:rsidRPr="00E730F3">
              <w:rPr>
                <w:rFonts w:ascii="Gill Sans MT" w:hAnsi="Gill Sans MT" w:cs="Arial"/>
                <w:color w:val="000000"/>
                <w:sz w:val="22"/>
                <w:szCs w:val="22"/>
                <w:lang w:val="fr-FR"/>
              </w:rPr>
              <w:t>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05C0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4AE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089294C" w14:textId="77777777" w:rsidTr="00973D13">
        <w:trPr>
          <w:trHeight w:val="157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5F6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FD08F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conformément aux spécifications techniques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 xml:space="preserve">de 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machon</w:t>
            </w:r>
            <w:proofErr w:type="spellEnd"/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universel  en Fonte Ductile DN160mm,  revêtement époxy cataphorèse, PN 16, joint EPDM et boulonnerie en acier, ainsi que la fourniture de tous les éléments nécessaires à leur assemblage.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Toutes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sujétions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incluses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      </w:t>
            </w:r>
            <w:r w:rsidRPr="00E730F3">
              <w:rPr>
                <w:rFonts w:ascii="Gill Sans MT" w:hAnsi="Gill Sans MT"/>
                <w:sz w:val="20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.                                                                                                                    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D05E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9ED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2915A7CB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3E7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II.9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772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Manchon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fonte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6</w:t>
            </w:r>
            <w:r w:rsidRPr="00E730F3">
              <w:rPr>
                <w:rFonts w:ascii="Gill Sans MT" w:hAnsi="Gill Sans MT" w:cs="Arial"/>
                <w:color w:val="000000"/>
                <w:sz w:val="22"/>
                <w:szCs w:val="22"/>
              </w:rPr>
              <w:t>"</w:t>
            </w:r>
            <w:r w:rsidRPr="00E730F3">
              <w:rPr>
                <w:rFonts w:ascii="Gill Sans MT" w:hAnsi="Gill Sans MT" w:cs="Tahoma"/>
                <w:color w:val="000000"/>
                <w:sz w:val="22"/>
                <w:szCs w:val="22"/>
              </w:rPr>
              <w:t xml:space="preserve"> pour PE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132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559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0480E6E" w14:textId="77777777" w:rsidTr="00973D13">
        <w:trPr>
          <w:trHeight w:val="183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E3D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BD226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conformément aux spécifications techniques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 xml:space="preserve">de 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machon</w:t>
            </w:r>
            <w:proofErr w:type="spellEnd"/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  en Fonte Ductile DN 160 mm pour conduite PEHD   revêtement époxy cataphorèse, PN 16, joint EPDM et boulonnerie en acier, ainsi que la fourniture de tous les éléments nécessaires à leur assemblage.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Toutes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sujétions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incluses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      </w:t>
            </w:r>
            <w:r w:rsidRPr="00E730F3">
              <w:rPr>
                <w:rFonts w:ascii="Gill Sans MT" w:hAnsi="Gill Sans MT"/>
                <w:sz w:val="20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.                                                                                                                    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DF3D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DC0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D96CC56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69D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II.10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FAC8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Repair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Clamps 2</w:t>
            </w: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"(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manchon de réparation)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C8AE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596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658109F" w14:textId="77777777" w:rsidTr="00973D13">
        <w:trPr>
          <w:trHeight w:val="96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FA7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B1AA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de manchon de réparation DN 2'' en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fonte .Toutes</w:t>
            </w:r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sujétions incluses      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L’unité. 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Prix en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lettres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: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1819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21D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B274E4B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8ED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II.11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E70E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Repair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Clamps 4</w:t>
            </w: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"(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manchon de réparation)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FFA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0E3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B6DD5E0" w14:textId="77777777" w:rsidTr="00973D13">
        <w:trPr>
          <w:trHeight w:val="96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7C8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DC1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de manchon de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reparation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DN 4'' en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fonte .Toutes</w:t>
            </w:r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sujétions incluses      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L’unité. 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Prix en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lettres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: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867E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80B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06D1826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2C87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1721F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Fourniture</w:t>
            </w:r>
            <w:proofErr w:type="spellEnd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Raccord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3D087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868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F618380" w14:textId="77777777" w:rsidTr="00291DEC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569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II.12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21E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Raccord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110 mm PEHD/PN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20C3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B94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6233909" w14:textId="77777777" w:rsidTr="00291DEC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B3D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73AEA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Raccord en polyéthylène de haute densité (PEHD) de diamètre 110mm PN10 </w:t>
            </w:r>
            <w:r w:rsidRPr="00E730F3">
              <w:rPr>
                <w:rFonts w:ascii="Gill Sans MT" w:hAnsi="Gill Sans MT" w:cs="Calibri"/>
                <w:sz w:val="20"/>
                <w:lang w:val="fr-FR"/>
              </w:rPr>
              <w:t>à</w:t>
            </w:r>
            <w:r w:rsidRPr="00E730F3">
              <w:rPr>
                <w:rFonts w:ascii="Gill Sans MT" w:hAnsi="Gill Sans MT"/>
                <w:sz w:val="20"/>
                <w:lang w:val="fr-FR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191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B91BF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</w:p>
        </w:tc>
      </w:tr>
      <w:tr w:rsidR="00291DEC" w:rsidRPr="00E730F3" w14:paraId="7FCFB96F" w14:textId="77777777" w:rsidTr="00291DEC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D04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II.13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634F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Raccord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63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AEDA1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1209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</w:p>
        </w:tc>
      </w:tr>
      <w:tr w:rsidR="00291DEC" w:rsidRPr="00E730F3" w14:paraId="0C5019B8" w14:textId="77777777" w:rsidTr="00291DEC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D32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76F4B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Raccord en polyéthylène de haute densité (PEHD) de diamètre 63mm PN10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531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275F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</w:p>
        </w:tc>
      </w:tr>
      <w:tr w:rsidR="00291DEC" w:rsidRPr="00E730F3" w14:paraId="5D824BD1" w14:textId="77777777" w:rsidTr="00291DEC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4FC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II.14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C7E6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Raccord à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compresssion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DN 110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91719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D4F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9EB9A81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785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FB78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>Raccord en polyéthylène de haute densité (PEHD) de diamètre 110mm PN10 à compression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F2FA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262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F21686D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0A8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II.15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915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Raccord à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compresssion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DN 63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AE90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C31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C2B514E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0F6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C2C0D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>Raccord en polyéthylène de haute densité (PEHD) de diamètre 63mm PN10 à compression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2C0C6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1B6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0DF0E839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115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II.16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7DE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Raccord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163 mm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E340D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8E3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4DF346F0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846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88DD9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Raccord en polyéthylène de haute densité (PEHD) de diamètre 163mm PN10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6AD8C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CD7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255CA7D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570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II.17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97D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Raccord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225 mm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9161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2FA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F6759AC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148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F286E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Raccord en polyéthylène de haute densité (PEHD) de diamètre 225mm PN10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018B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F57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229C26D3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295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II.18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6292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Raccord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63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5620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B4D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457AE0D8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1F2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A0557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Raccord en polyéthylène de haute densité (PEHD) de diamètre 63mm PN10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BC33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919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4A53A9B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89C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II.19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397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Raccord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160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371E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25C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065C7E65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465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659DE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Raccord en polyéthylène de haute densité (PEHD) de diamètre 160mm PN10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6BB2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618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13D8F9A9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8FF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4645F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Fourniture</w:t>
            </w:r>
            <w:proofErr w:type="spellEnd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Reducteur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7D7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CF6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B8EEC2E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8311" w14:textId="0E3CDB39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6DF4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Reducteur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PE 8''x 4''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277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F26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EA55017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7D7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55FDA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Reducteur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en polyéthylène de haute densité (PEHD) de diamètre 8pouces par4 pouces PN16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0064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E02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1E821723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E7718" w14:textId="1A340D3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II.2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BAD8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Reducteur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PE 8''x 6''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189F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654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CD413AA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5D3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B46CC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Reducteur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en polyéthylène de haute densité (PEHD) de diamètre 8pouces par 6 pouces PN16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D9F2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10F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24770B57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5558" w14:textId="4061A2E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II.2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E031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Reducteur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PE 163 x 110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2EF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BC0F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753EF1B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DE4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D0855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Reducteur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en polyéthylène de haute densité (PEHD) de diamètre 163 mm par 110m PN16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5881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2C7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2A63DBB8" w14:textId="77777777" w:rsidTr="00F878EF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ADC9" w14:textId="03E1AD58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II.2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BCB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Reducteur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PE 160 </w:t>
            </w:r>
            <w:r w:rsidRPr="00E730F3">
              <w:rPr>
                <w:rFonts w:ascii="Gill Sans MT" w:hAnsi="Gill Sans MT" w:cs="Arial"/>
                <w:color w:val="000000"/>
                <w:sz w:val="22"/>
                <w:szCs w:val="22"/>
              </w:rPr>
              <w:t>X</w:t>
            </w:r>
            <w:r w:rsidRPr="00E730F3">
              <w:rPr>
                <w:rFonts w:ascii="Gill Sans MT" w:hAnsi="Gill Sans MT" w:cs="Tahoma"/>
                <w:color w:val="000000"/>
                <w:sz w:val="22"/>
                <w:szCs w:val="22"/>
              </w:rPr>
              <w:t xml:space="preserve"> 110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81B10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197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4263CCB" w14:textId="77777777" w:rsidTr="00F878EF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E94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1A0F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Reducteur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en polyéthylène de haute densité (PEHD) de diamètre 160 mm par 110m PN16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19B2C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ACC23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</w:p>
        </w:tc>
      </w:tr>
      <w:tr w:rsidR="00291DEC" w:rsidRPr="00E730F3" w14:paraId="440E0E11" w14:textId="77777777" w:rsidTr="00F878EF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2F0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42657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Fourniture</w:t>
            </w:r>
            <w:proofErr w:type="spellEnd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 xml:space="preserve"> de Collier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FA8C0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C316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</w:p>
        </w:tc>
      </w:tr>
      <w:tr w:rsidR="00291DEC" w:rsidRPr="00E730F3" w14:paraId="1DA74E7F" w14:textId="77777777" w:rsidTr="00F878EF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6B4E" w14:textId="09771831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II.2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773F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Collier  de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prise 225 mm </w:t>
            </w:r>
            <w:r w:rsidRPr="00E730F3">
              <w:rPr>
                <w:rFonts w:ascii="Gill Sans MT" w:hAnsi="Gill Sans MT" w:cs="Arial"/>
                <w:color w:val="000000"/>
                <w:sz w:val="22"/>
                <w:szCs w:val="22"/>
                <w:lang w:val="fr-FR"/>
              </w:rPr>
              <w:t>x</w:t>
            </w:r>
            <w:r w:rsidRPr="00E730F3">
              <w:rPr>
                <w:rFonts w:ascii="Gill Sans MT" w:hAnsi="Gill Sans MT" w:cs="Tahoma"/>
                <w:color w:val="000000"/>
                <w:sz w:val="22"/>
                <w:szCs w:val="22"/>
                <w:lang w:val="fr-FR"/>
              </w:rPr>
              <w:t xml:space="preserve"> 63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8A26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AEA9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587E7D3" w14:textId="77777777" w:rsidTr="00973D13">
        <w:trPr>
          <w:trHeight w:val="96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203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00C7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Fourniture de Collier de prise en fonte de diamètre 225mmx 63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mm.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L'unite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en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lettres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F2D3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533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24DB75A7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8643" w14:textId="2C302401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lastRenderedPageBreak/>
              <w:t>II.2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6E6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Collier  de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prise 4'' x 2''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59E12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FB3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AC415F2" w14:textId="77777777" w:rsidTr="00973D13">
        <w:trPr>
          <w:trHeight w:val="96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472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EB76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Fourniture de Collier de prise en fonte de diamètre 4''x 2''.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L'unite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en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lettres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F7C6F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6BC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DD8F9CE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B34B" w14:textId="72877F15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II.2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CF79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Collier de prise 163 x 63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8624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CE5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71A2C60" w14:textId="77777777" w:rsidTr="00973D13">
        <w:trPr>
          <w:trHeight w:val="96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4D0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A18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Fourniture de Collier de prise en fonte de diamètre 163x 63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mm.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L'unite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en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lettres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E8DF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A6A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1336EF1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606D" w14:textId="07E250D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II.2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11B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Collier de prise 110 </w:t>
            </w:r>
            <w:r w:rsidRPr="00E730F3">
              <w:rPr>
                <w:rFonts w:ascii="Gill Sans MT" w:hAnsi="Gill Sans MT" w:cs="Arial"/>
                <w:color w:val="000000"/>
                <w:sz w:val="22"/>
                <w:szCs w:val="22"/>
                <w:lang w:val="fr-FR"/>
              </w:rPr>
              <w:t>X 63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497A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FC48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07DCB1B" w14:textId="77777777" w:rsidTr="00973D13">
        <w:trPr>
          <w:trHeight w:val="96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161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FC0E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Fourniture de Collier de prise en fonte de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diametre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110x 63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mm.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L'unite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en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lettres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91EC3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F06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4AF57073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C38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A90C6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Fourniture</w:t>
            </w:r>
            <w:proofErr w:type="spellEnd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Te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0AC0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A04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FBE4365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CF82" w14:textId="72806D12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7F0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Té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110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4F57E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E27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03F1194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6FE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EC910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Té 90º en polyéthylène de haute densité (PEHD) diamètre 110 mm PN16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44F37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DA1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4D9B9669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3774" w14:textId="773431E4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2B1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Té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SCH </w:t>
            </w:r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40  DN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=4"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016A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425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0813EC3E" w14:textId="77777777" w:rsidTr="00973D13">
        <w:trPr>
          <w:trHeight w:val="788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2AA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07508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Té 90º en PVC SCH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40  diamètre</w:t>
            </w:r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110 mm PN16 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.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9E9B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6CF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44EBAC5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B5F3" w14:textId="2AF39A11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II.3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2AA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Té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 compression</w:t>
            </w:r>
            <w:proofErr w:type="gram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 DN 110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40C7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F2A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2983C4D2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00A0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EA9E7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Té 90º en polyéthylène de haute densité (PEHD) diamètre 110 mm PN16 à compression.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.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F58E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457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1CCE8016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8228" w14:textId="30DF01B4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II.3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188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Té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compression DN 63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4D94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077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788C454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83A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BE906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Té 90º en polyéthylène de haute densité (PEHD) diamètre 63 mm PN16 à compression.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.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63F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044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D0C8CE4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B9DC" w14:textId="229785E9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II.3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039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Té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225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7DF2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6739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2BF7D98E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F36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7176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Té 90º en polyéthylène de haute densité (PEHD) diamètre 225 mm PN16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9ACD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89A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D26FEC4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DDEC" w14:textId="5192208C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II.3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B8F8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Té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160mm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3F3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C19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441AB0C0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814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4D6CA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Té 90º en polyéthylène de haute densité (PEHD) diamètre 160 mm PN16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D43B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B4E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E2DDB62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7D62" w14:textId="4CCB601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II.3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E4F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Te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63 mm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4200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E04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44FBAEAE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256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C259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Té 90º en polyéthylène de haute densité (PEHD) diamètre 63 mm PN16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B9C2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10C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6B00E8A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18B7" w14:textId="6E51BAC3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II.3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5CD3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Te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110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F962B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D6D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28E3764E" w14:textId="77777777" w:rsidTr="00973D13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A2B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042FB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Té 90º en polyéthylène de haute densité (PEHD) diamètre 110 mm PN16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r w:rsidRPr="00E730F3">
              <w:rPr>
                <w:rFonts w:ascii="Gill Sans MT" w:hAnsi="Gill Sans MT"/>
                <w:sz w:val="20"/>
              </w:rPr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797C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F963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10A9E41E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6780" w14:textId="34446E19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792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Coude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PE 100 mm </w:t>
            </w:r>
            <w:r w:rsidRPr="00E730F3">
              <w:rPr>
                <w:rFonts w:ascii="Gill Sans MT" w:hAnsi="Gill Sans MT" w:cs="Arial"/>
                <w:color w:val="000000"/>
                <w:sz w:val="22"/>
                <w:szCs w:val="22"/>
              </w:rPr>
              <w:t>X</w:t>
            </w:r>
            <w:r w:rsidRPr="00E730F3">
              <w:rPr>
                <w:rFonts w:ascii="Gill Sans MT" w:hAnsi="Gill Sans MT" w:cs="Tahoma"/>
                <w:color w:val="000000"/>
                <w:sz w:val="22"/>
                <w:szCs w:val="22"/>
              </w:rPr>
              <w:t xml:space="preserve"> 45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D831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9AA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0D66BA86" w14:textId="77777777" w:rsidTr="00973D13">
        <w:trPr>
          <w:trHeight w:val="131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188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60341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coude en polyéthylène de haute densité (PEHD) 45° à long rayon diamètre 160 mm PN10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de type PE-4710 ASTM F714/D3035, AWWA C901 NSF-SDR 17, EN12201-3 ou similaire conformément aux spécifications techniques.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L’unité.                        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Prix en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Lettres: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87C9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2C8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D3B4269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5AFB" w14:textId="34673CBA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20C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Bouchon EF 110 mm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6B1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B09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0D13922E" w14:textId="77777777" w:rsidTr="00973D13">
        <w:trPr>
          <w:trHeight w:val="131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AC2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5797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bouchon  en</w:t>
            </w:r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polyéthylène de haute densité (PEHD) diamètre 110 mm PN10 à compression de type PE-4710 ASTM F714/D3035 AWWA C901 NSF-SDR 11 ou similaire conformément aux spécifications techniques.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.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2CA0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B7C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46BD957A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9620" w14:textId="27647328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II.</w:t>
            </w:r>
            <w:r w:rsidR="00F878EF"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B11E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Coude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EF 160 </w:t>
            </w:r>
            <w:r w:rsidRPr="00E730F3">
              <w:rPr>
                <w:rFonts w:ascii="Gill Sans MT" w:hAnsi="Gill Sans MT" w:cs="Arial"/>
                <w:color w:val="000000"/>
                <w:sz w:val="22"/>
                <w:szCs w:val="22"/>
              </w:rPr>
              <w:t>X 45</w:t>
            </w: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BC2B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75E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7A7D6D92" w14:textId="77777777" w:rsidTr="00973D13">
        <w:trPr>
          <w:trHeight w:val="131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478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00611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coude en polyéthylène de haute densité (PEHD) 45° à long rayon diamètre 160 mm PN10 à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electrofusion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de type PE-4710 ASTM F714/D3035, AWWA C901 NSF-SDR 17, EN12201-3 ou similaire conformément aux spécifications techniques.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L’unité.                        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Prix en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Lettres: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8ABA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BF2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01ACB45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6689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III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7035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FOURNITURE VENTOUSES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8450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A97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B26C3EB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EC0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III.1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EFA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Ventouse 2'' Type Triple Fonction y compris les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pieces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de raccordement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AFB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AE096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0D1C879C" w14:textId="77777777" w:rsidTr="00973D13">
        <w:trPr>
          <w:trHeight w:val="236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D7B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ECDBE" w14:textId="77777777" w:rsidR="00291DEC" w:rsidRPr="00E730F3" w:rsidRDefault="00291DEC" w:rsidP="00973D13">
            <w:pPr>
              <w:rPr>
                <w:rFonts w:ascii="Gill Sans MT" w:hAnsi="Gill Sans MT"/>
                <w:sz w:val="20"/>
                <w:lang w:val="fr-FR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de l'ensemble pour des conduites DN 50mm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PEHD  conformément</w:t>
            </w:r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aux spécifications techniques de ventouse en FD ASTM A536 65-45-12 (GGG50) ou équivalent, avec revêtement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époxi-poliester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et éléments internes en acier inox, de triple fonction, diamètre 50 mm, PN 10, y compris des accessoires de montage ainsi que la fourniture de tous les éléments nécessaires à leur montage.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Toutes sujétions incluses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Ce prix s'applique à 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Prix en Lettres:   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BD53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080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291DEC" w:rsidRPr="00E730F3" w14:paraId="2FBC0E74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1795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IV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7389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FOURNITURE VIDANGES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48C0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E2D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41F56E37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4DA2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IV.1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235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Vannes de vidange DN 100 mm y compris les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pieces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 xml:space="preserve"> de raccordement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3C4B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C1B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7962AB9" w14:textId="77777777" w:rsidTr="00973D13">
        <w:trPr>
          <w:trHeight w:val="131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1CC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7E919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conformément aux spécifications techniques de l'ensemble des équipements pour le vidange des conduites en PEHD DN 100 ou </w:t>
            </w:r>
            <w:proofErr w:type="spellStart"/>
            <w:r w:rsidRPr="00E730F3">
              <w:rPr>
                <w:rFonts w:ascii="Gill Sans MT" w:hAnsi="Gill Sans MT"/>
                <w:sz w:val="20"/>
                <w:lang w:val="fr-FR"/>
              </w:rPr>
              <w:t>infèriure</w:t>
            </w:r>
            <w:proofErr w:type="spell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y compris la fourniture de tous les éléments nécessaires à leur </w:t>
            </w:r>
            <w:proofErr w:type="spellStart"/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montage.Toutes</w:t>
            </w:r>
            <w:proofErr w:type="spellEnd"/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sujétions incluses.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Ce prix s'applique à l’unité.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Prix en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Lettres: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2B0A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F8F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0200DD26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DE1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V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CF63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FOURNITURE DES VANNES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BC1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AD5F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64D18762" w14:textId="77777777" w:rsidTr="00973D13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A0C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lastRenderedPageBreak/>
              <w:t>V.1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5691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Fourniture de vanne d'isolement DN 100 mm à passage direct à tête carrée de 25 mm et accessoires .PN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2E29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D6AD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1EC67494" w14:textId="77777777" w:rsidTr="00973D13">
        <w:trPr>
          <w:trHeight w:val="21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A0F4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28F21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conformément aux spécifications techniques de vanne à passage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direct  DN</w:t>
            </w:r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100 mm en FD revêtement époxy cataphorèse, PN 10,  à tête carrée de 25 mm,  et accessoires de montage du même diamètre que la vanne tels que: 2 adaptateurs à bride autobloquant « Water Stop » , 2 joints EPDM et boulons de fixation, ainsi que la fourniture de tous les éléments nécessaires à leur assemblage.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Toutes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sujétions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incluses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.</w:t>
            </w:r>
            <w:r w:rsidRPr="00E730F3">
              <w:rPr>
                <w:rFonts w:ascii="Gill Sans MT" w:hAnsi="Gill Sans MT"/>
                <w:sz w:val="20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.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9A57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BBAC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33E4B65" w14:textId="77777777" w:rsidTr="00973D13">
        <w:trPr>
          <w:trHeight w:val="6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02FE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V.2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6B11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Fourniture de vanne d'isolement DN 160 mm à passage direct à tête carrée de 25 mm et accessoires .PN 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07D5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5FB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8DFAD64" w14:textId="77777777" w:rsidTr="00973D13">
        <w:trPr>
          <w:trHeight w:val="21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3FF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53A73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Fourniture conformément aux spécifications techniques de vanne à passage </w:t>
            </w:r>
            <w:proofErr w:type="gramStart"/>
            <w:r w:rsidRPr="00E730F3">
              <w:rPr>
                <w:rFonts w:ascii="Gill Sans MT" w:hAnsi="Gill Sans MT"/>
                <w:sz w:val="20"/>
                <w:lang w:val="fr-FR"/>
              </w:rPr>
              <w:t>direct  DN</w:t>
            </w:r>
            <w:proofErr w:type="gramEnd"/>
            <w:r w:rsidRPr="00E730F3">
              <w:rPr>
                <w:rFonts w:ascii="Gill Sans MT" w:hAnsi="Gill Sans MT"/>
                <w:sz w:val="20"/>
                <w:lang w:val="fr-FR"/>
              </w:rPr>
              <w:t xml:space="preserve"> 160 mm en FD revêtement époxy cataphorèse, PN 10,  à tête carrée de 25 mm,  et accessoires de montage du même diamètre que la vanne tels que: 2 adaptateurs à bride autobloquant « Water Stop » , 2 joints EPDM et boulons de fixation, ainsi que la fourniture de tous les éléments nécessaires à leur assemblage.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Toutes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sujétions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incluses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.</w:t>
            </w:r>
            <w:r w:rsidRPr="00E730F3">
              <w:rPr>
                <w:rFonts w:ascii="Gill Sans MT" w:hAnsi="Gill Sans MT"/>
                <w:sz w:val="20"/>
              </w:rPr>
              <w:br/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L’unité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.</w:t>
            </w:r>
            <w:r w:rsidRPr="00E730F3">
              <w:rPr>
                <w:rFonts w:ascii="Gill Sans MT" w:hAnsi="Gill Sans MT"/>
                <w:sz w:val="20"/>
              </w:rPr>
              <w:br/>
              <w:t xml:space="preserve">Prix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en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 xml:space="preserve"> </w:t>
            </w:r>
            <w:proofErr w:type="spellStart"/>
            <w:r w:rsidRPr="00E730F3">
              <w:rPr>
                <w:rFonts w:ascii="Gill Sans MT" w:hAnsi="Gill Sans MT"/>
                <w:sz w:val="20"/>
              </w:rPr>
              <w:t>Lettres</w:t>
            </w:r>
            <w:proofErr w:type="spellEnd"/>
            <w:r w:rsidRPr="00E730F3">
              <w:rPr>
                <w:rFonts w:ascii="Gill Sans MT" w:hAnsi="Gill Sans MT"/>
                <w:sz w:val="20"/>
              </w:rPr>
              <w:t>: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1A48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011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B503CD1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AD9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VI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7902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 xml:space="preserve">FOURNITURE de </w:t>
            </w: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Branchement</w:t>
            </w:r>
            <w:proofErr w:type="spellEnd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30F3"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  <w:t>Prive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2502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28B2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0B0A0BC5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F0E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77C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Accessoires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pour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Branchements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Prives</w:t>
            </w:r>
            <w:proofErr w:type="spellEnd"/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BBD2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5FC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3EF733A4" w14:textId="77777777" w:rsidTr="00973D13">
        <w:trPr>
          <w:trHeight w:val="262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3A1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A6C2E" w14:textId="77777777" w:rsidR="00291DEC" w:rsidRPr="00E730F3" w:rsidRDefault="00291DEC" w:rsidP="00973D13">
            <w:pPr>
              <w:rPr>
                <w:rFonts w:ascii="Gill Sans MT" w:hAnsi="Gill Sans MT"/>
                <w:sz w:val="20"/>
                <w:lang w:val="fr-FR"/>
              </w:rPr>
            </w:pPr>
            <w:r w:rsidRPr="00E730F3">
              <w:rPr>
                <w:rFonts w:ascii="Gill Sans MT" w:hAnsi="Gill Sans MT"/>
                <w:sz w:val="20"/>
                <w:lang w:val="fr-FR"/>
              </w:rPr>
              <w:t xml:space="preserve"> Ce prix rémunère uniquement par branchement nouveau, la fourniture et la pose par l'Entrepreneur des pièces suivantes :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• Un collier de prise en charge (DN150 à DN20)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• Un robinet de prise en charge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• La boite de compteur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• La bouche à clés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• Un tabernacle (base et cloche) pour la protection du robinet prise en charge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 xml:space="preserve">• Les courbe/coudes 45D </w:t>
            </w:r>
            <w:r w:rsidRPr="00E730F3">
              <w:rPr>
                <w:rFonts w:ascii="Gill Sans MT" w:hAnsi="Gill Sans MT"/>
                <w:sz w:val="20"/>
                <w:lang w:val="fr-FR"/>
              </w:rPr>
              <w:br/>
              <w:t>• Tuyaux PEHD DN 20 PN16 (jusqu’à 12m entre le tuyau principal et la boite de compteur).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D78F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614B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  <w:tr w:rsidR="00291DEC" w:rsidRPr="00E730F3" w14:paraId="1211CAE3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F9AA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VII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B57E" w14:textId="77777777" w:rsidR="00291DEC" w:rsidRPr="00E730F3" w:rsidRDefault="00291DEC" w:rsidP="00973D13">
            <w:pPr>
              <w:rPr>
                <w:rFonts w:ascii="Gill Sans MT" w:hAnsi="Gill Sans MT" w:cs="Calibri"/>
                <w:b/>
                <w:bCs/>
                <w:color w:val="000000"/>
                <w:sz w:val="22"/>
                <w:szCs w:val="22"/>
              </w:rPr>
            </w:pPr>
            <w:bookmarkStart w:id="1" w:name="RANGE!B142"/>
            <w:r w:rsidRPr="00E730F3">
              <w:rPr>
                <w:rFonts w:ascii="Gill Sans MT" w:eastAsia="Symbol" w:hAnsi="Gill Sans MT" w:cs="Symbol"/>
                <w:b/>
                <w:bCs/>
                <w:color w:val="000000"/>
                <w:sz w:val="22"/>
                <w:szCs w:val="22"/>
                <w:lang w:val="fr-FR"/>
              </w:rPr>
              <w:t>FOURNITURE POTEAU D’INCENDIE</w:t>
            </w:r>
            <w:bookmarkEnd w:id="1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683C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87E1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54BFD570" w14:textId="77777777" w:rsidTr="00973D13">
        <w:trPr>
          <w:trHeight w:val="32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1B97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4160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  <w:lang w:val="fr-FR"/>
              </w:rPr>
            </w:pPr>
            <w:bookmarkStart w:id="2" w:name="_Hlk50487055" w:colFirst="1" w:colLast="1"/>
            <w:r w:rsidRPr="00E730F3">
              <w:rPr>
                <w:rFonts w:ascii="Gill Sans MT" w:eastAsia="Symbol" w:hAnsi="Gill Sans MT" w:cs="Symbol"/>
                <w:color w:val="000000"/>
                <w:sz w:val="22"/>
                <w:szCs w:val="22"/>
                <w:lang w:val="fr-FR"/>
              </w:rPr>
              <w:t xml:space="preserve">Poteaux d’incendie en fonte ductile à colonne sèche à boîte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F1B1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E9D8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</w:tr>
      <w:tr w:rsidR="00291DEC" w:rsidRPr="00E730F3" w14:paraId="024549D7" w14:textId="77777777" w:rsidTr="00973D13">
        <w:trPr>
          <w:trHeight w:val="237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C1EF3" w14:textId="77777777" w:rsidR="00291DEC" w:rsidRPr="00E730F3" w:rsidRDefault="00291DEC" w:rsidP="00973D13">
            <w:pPr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</w:p>
        </w:tc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C3461" w14:textId="77777777" w:rsidR="00291DEC" w:rsidRPr="00E730F3" w:rsidRDefault="00291DEC" w:rsidP="00973D13">
            <w:pPr>
              <w:rPr>
                <w:rFonts w:ascii="Gill Sans MT" w:hAnsi="Gill Sans MT"/>
                <w:sz w:val="20"/>
              </w:rPr>
            </w:pPr>
            <w:r w:rsidRPr="00E730F3">
              <w:rPr>
                <w:rFonts w:ascii="Gill Sans MT" w:eastAsia="Symbol" w:hAnsi="Gill Sans MT" w:cs="Symbol"/>
                <w:sz w:val="20"/>
                <w:lang w:val="fr-FR"/>
              </w:rPr>
              <w:t xml:space="preserve">Fourniture conformément aux spécifications techniques de Poteau d'incendie à colonne sèche de DN 80 mm, avec prise droite sur le réseau, une bouche de DN 65 mm, deux bouches DN 45 </w:t>
            </w:r>
            <w:proofErr w:type="spellStart"/>
            <w:r w:rsidRPr="00E730F3">
              <w:rPr>
                <w:rFonts w:ascii="Gill Sans MT" w:eastAsia="Symbol" w:hAnsi="Gill Sans MT" w:cs="Symbol"/>
                <w:sz w:val="20"/>
                <w:lang w:val="fr-FR"/>
              </w:rPr>
              <w:t>mm.</w:t>
            </w:r>
            <w:proofErr w:type="spellEnd"/>
            <w:r w:rsidRPr="00E730F3">
              <w:rPr>
                <w:rFonts w:ascii="Gill Sans MT" w:eastAsia="Symbol" w:hAnsi="Gill Sans MT" w:cs="Symbol"/>
                <w:sz w:val="20"/>
                <w:lang w:val="fr-FR"/>
              </w:rPr>
              <w:t xml:space="preserve"> </w:t>
            </w:r>
            <w:r w:rsidRPr="00E730F3">
              <w:rPr>
                <w:rFonts w:ascii="Gill Sans MT" w:eastAsia="Symbol" w:hAnsi="Gill Sans MT" w:cs="Symbol"/>
                <w:sz w:val="20"/>
                <w:lang w:val="fr-FR"/>
              </w:rPr>
              <w:br/>
              <w:t xml:space="preserve">Le kit de montage du même diamètre que la bride de sortie est composé </w:t>
            </w:r>
            <w:proofErr w:type="gramStart"/>
            <w:r w:rsidRPr="00E730F3">
              <w:rPr>
                <w:rFonts w:ascii="Gill Sans MT" w:eastAsia="Symbol" w:hAnsi="Gill Sans MT" w:cs="Symbol"/>
                <w:sz w:val="20"/>
                <w:lang w:val="fr-FR"/>
              </w:rPr>
              <w:t>par:</w:t>
            </w:r>
            <w:proofErr w:type="gramEnd"/>
            <w:r w:rsidRPr="00E730F3">
              <w:rPr>
                <w:rFonts w:ascii="Gill Sans MT" w:eastAsia="Symbol" w:hAnsi="Gill Sans MT" w:cs="Symbol"/>
                <w:sz w:val="20"/>
                <w:lang w:val="fr-FR"/>
              </w:rPr>
              <w:t xml:space="preserve">  1 Coude à patin en FD DN80 bride tournante  et 1 Mâchon en fonte à brides DN80 L=500mm  ainsi que la fourniture de tous les éléments nécessaires à leur montage.</w:t>
            </w:r>
            <w:r w:rsidRPr="00E730F3">
              <w:rPr>
                <w:rFonts w:ascii="Gill Sans MT" w:eastAsia="Symbol" w:hAnsi="Gill Sans MT" w:cs="Symbol"/>
                <w:sz w:val="20"/>
                <w:lang w:val="fr-FR"/>
              </w:rPr>
              <w:br/>
              <w:t>Toutes sujétions incluses.</w:t>
            </w:r>
            <w:r w:rsidRPr="00E730F3">
              <w:rPr>
                <w:rFonts w:ascii="Gill Sans MT" w:eastAsia="Symbol" w:hAnsi="Gill Sans MT" w:cs="Symbol"/>
                <w:sz w:val="20"/>
                <w:lang w:val="fr-FR"/>
              </w:rPr>
              <w:br/>
              <w:t>L’unité.</w:t>
            </w:r>
            <w:r w:rsidRPr="00E730F3">
              <w:rPr>
                <w:rFonts w:ascii="Gill Sans MT" w:eastAsia="Symbol" w:hAnsi="Gill Sans MT" w:cs="Symbol"/>
                <w:sz w:val="20"/>
                <w:lang w:val="fr-FR"/>
              </w:rPr>
              <w:br/>
              <w:t>Prix en Lettres:                                                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60DB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  <w:r w:rsidRPr="00E730F3">
              <w:rPr>
                <w:rFonts w:ascii="Gill Sans MT" w:hAnsi="Gill Sans MT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6F87" w14:textId="77777777" w:rsidR="00291DEC" w:rsidRPr="00E730F3" w:rsidRDefault="00291DEC" w:rsidP="00973D13">
            <w:pPr>
              <w:jc w:val="center"/>
              <w:rPr>
                <w:rFonts w:ascii="Gill Sans MT" w:hAnsi="Gill Sans MT" w:cs="Calibri"/>
                <w:color w:val="000000"/>
                <w:sz w:val="22"/>
                <w:szCs w:val="22"/>
              </w:rPr>
            </w:pPr>
          </w:p>
        </w:tc>
      </w:tr>
      <w:bookmarkEnd w:id="2"/>
    </w:tbl>
    <w:p w14:paraId="6C251BCA" w14:textId="77777777" w:rsidR="00E434F3" w:rsidRPr="00E730F3" w:rsidRDefault="00B5474B">
      <w:pPr>
        <w:rPr>
          <w:rFonts w:ascii="Gill Sans MT" w:hAnsi="Gill Sans MT"/>
        </w:rPr>
      </w:pPr>
    </w:p>
    <w:sectPr w:rsidR="00E434F3" w:rsidRPr="00E730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DEC"/>
    <w:rsid w:val="00291DEC"/>
    <w:rsid w:val="003401EA"/>
    <w:rsid w:val="00B5474B"/>
    <w:rsid w:val="00CA6B55"/>
    <w:rsid w:val="00E730F3"/>
    <w:rsid w:val="00F8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E9460"/>
  <w15:chartTrackingRefBased/>
  <w15:docId w15:val="{CCAB37FF-AEFF-46B0-8376-270965AF1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1D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2348</Words>
  <Characters>12072</Characters>
  <Application>Microsoft Office Word</Application>
  <DocSecurity>0</DocSecurity>
  <Lines>389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DAI</Company>
  <LinksUpToDate>false</LinksUpToDate>
  <CharactersWithSpaces>14215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Hibart Danise</dc:creator>
  <cp:keywords/>
  <dc:description/>
  <cp:lastModifiedBy>John Liss Corelus</cp:lastModifiedBy>
  <cp:revision>2</cp:revision>
  <dcterms:created xsi:type="dcterms:W3CDTF">2021-12-14T16:30:00Z</dcterms:created>
  <dcterms:modified xsi:type="dcterms:W3CDTF">2021-12-14T16:30:00Z</dcterms:modified>
</cp:coreProperties>
</file>