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B982F" w14:textId="71CAE417" w:rsidR="00D92BD3" w:rsidRDefault="00CF1052" w:rsidP="004E75D6">
      <w:pPr>
        <w:jc w:val="center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1016CCCB" wp14:editId="2D0482A7">
            <wp:simplePos x="0" y="0"/>
            <wp:positionH relativeFrom="margin">
              <wp:posOffset>4447181</wp:posOffset>
            </wp:positionH>
            <wp:positionV relativeFrom="margin">
              <wp:posOffset>-144642</wp:posOffset>
            </wp:positionV>
            <wp:extent cx="1371600" cy="639445"/>
            <wp:effectExtent l="0" t="0" r="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 Expertise France - Fond transparen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39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7FC8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2F39DE9" wp14:editId="0F9D375A">
            <wp:simplePos x="0" y="0"/>
            <wp:positionH relativeFrom="column">
              <wp:posOffset>2362200</wp:posOffset>
            </wp:positionH>
            <wp:positionV relativeFrom="paragraph">
              <wp:posOffset>-385928</wp:posOffset>
            </wp:positionV>
            <wp:extent cx="1440660" cy="1181341"/>
            <wp:effectExtent l="0" t="0" r="7620" b="0"/>
            <wp:wrapNone/>
            <wp:docPr id="2" name="Image 2" descr="Résultat de recherche d'images pour &quot;République d'Haiti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République d'Haiti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660" cy="1181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5D99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669017F6" wp14:editId="491C5DF0">
            <wp:simplePos x="0" y="0"/>
            <wp:positionH relativeFrom="column">
              <wp:posOffset>-106045</wp:posOffset>
            </wp:positionH>
            <wp:positionV relativeFrom="paragraph">
              <wp:posOffset>-195580</wp:posOffset>
            </wp:positionV>
            <wp:extent cx="1249788" cy="853514"/>
            <wp:effectExtent l="0" t="0" r="0" b="381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788" cy="8535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AA1FFC" w14:textId="77777777" w:rsidR="00D92BD3" w:rsidRDefault="00D92BD3" w:rsidP="004E75D6">
      <w:pPr>
        <w:jc w:val="center"/>
        <w:rPr>
          <w:b/>
        </w:rPr>
      </w:pPr>
    </w:p>
    <w:p w14:paraId="3699E961" w14:textId="77777777" w:rsidR="00AF5D99" w:rsidRDefault="00AF5D99" w:rsidP="00BB7FC8">
      <w:pPr>
        <w:rPr>
          <w:b/>
        </w:rPr>
      </w:pP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D2188B" w:rsidRPr="00D2188B" w14:paraId="3FDA8DDE" w14:textId="77777777" w:rsidTr="00AF5D99">
        <w:tc>
          <w:tcPr>
            <w:tcW w:w="9067" w:type="dxa"/>
          </w:tcPr>
          <w:p w14:paraId="499AF81E" w14:textId="77777777" w:rsidR="00140330" w:rsidRDefault="00D2188B" w:rsidP="00140330">
            <w:pPr>
              <w:spacing w:before="120" w:after="120"/>
              <w:jc w:val="center"/>
              <w:rPr>
                <w:b/>
              </w:rPr>
            </w:pPr>
            <w:r w:rsidRPr="00D2188B">
              <w:rPr>
                <w:b/>
              </w:rPr>
              <w:t xml:space="preserve">Termes de références </w:t>
            </w:r>
          </w:p>
          <w:p w14:paraId="592D747C" w14:textId="42FF59F3" w:rsidR="00D2188B" w:rsidRPr="00D2188B" w:rsidRDefault="004201C1" w:rsidP="0014033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Réalisation d’une évaluation de la mise en œuvre du projet</w:t>
            </w:r>
            <w:r w:rsidR="00DD493A">
              <w:rPr>
                <w:b/>
              </w:rPr>
              <w:t xml:space="preserve"> </w:t>
            </w:r>
          </w:p>
        </w:tc>
      </w:tr>
    </w:tbl>
    <w:p w14:paraId="3E8148CD" w14:textId="77777777" w:rsidR="004E75D6" w:rsidRDefault="004E75D6" w:rsidP="004E75D6">
      <w:pPr>
        <w:jc w:val="center"/>
        <w:rPr>
          <w:b/>
        </w:rPr>
      </w:pPr>
    </w:p>
    <w:p w14:paraId="00D2C16F" w14:textId="5C20EA54" w:rsidR="00C1700D" w:rsidRPr="00067263" w:rsidRDefault="00351A65" w:rsidP="0006726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="Arial"/>
          <w:b/>
          <w:sz w:val="28"/>
          <w:szCs w:val="28"/>
        </w:rPr>
      </w:pPr>
      <w:r w:rsidRPr="00067263">
        <w:rPr>
          <w:rFonts w:cs="Arial"/>
          <w:b/>
          <w:sz w:val="28"/>
          <w:szCs w:val="28"/>
        </w:rPr>
        <w:t xml:space="preserve">CONTEXTE </w:t>
      </w:r>
    </w:p>
    <w:p w14:paraId="30537473" w14:textId="77777777" w:rsidR="00D75473" w:rsidRPr="00351A65" w:rsidRDefault="004E75D6" w:rsidP="003066EC">
      <w:pPr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Dans le cadre du </w:t>
      </w:r>
      <w:r w:rsidR="00D75473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11</w:t>
      </w:r>
      <w:r w:rsidR="00140330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e </w:t>
      </w:r>
      <w:r w:rsidR="00D75473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Fonds Européen de Développement, l’Union Européenne </w:t>
      </w:r>
      <w:r w:rsidR="007F2184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a prévu d’accompagner la République d’Haïti au travers du Programme d'Appui à la Réforme de l'Etat (SBC-II)</w:t>
      </w:r>
      <w:r w:rsidR="003066EC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. Ce programme </w:t>
      </w:r>
      <w:r w:rsidR="00D75473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a pour objectif de « Consolider les capacités de résilience de l'Etat haïtien pour assurer une croissance économique durable et inclusive » via trois objectifs spécifiques :</w:t>
      </w:r>
    </w:p>
    <w:p w14:paraId="0CA7314E" w14:textId="77777777" w:rsidR="00D75473" w:rsidRPr="00351A65" w:rsidRDefault="00D75473" w:rsidP="000F2BB4">
      <w:pPr>
        <w:pStyle w:val="Paragraphedeliste"/>
        <w:numPr>
          <w:ilvl w:val="1"/>
          <w:numId w:val="1"/>
        </w:numPr>
        <w:ind w:left="709"/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l’amélioration de la performance du gouvernement dans la gestion des finances publiques</w:t>
      </w:r>
    </w:p>
    <w:p w14:paraId="051B2DEE" w14:textId="77777777" w:rsidR="00D75473" w:rsidRPr="00351A65" w:rsidRDefault="00D75473" w:rsidP="000F2BB4">
      <w:pPr>
        <w:pStyle w:val="Paragraphedeliste"/>
        <w:numPr>
          <w:ilvl w:val="1"/>
          <w:numId w:val="1"/>
        </w:numPr>
        <w:ind w:left="709"/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l’amélioration de la performance de l’appareil de l’Etat, et </w:t>
      </w:r>
    </w:p>
    <w:p w14:paraId="7EBDC236" w14:textId="77777777" w:rsidR="00D75473" w:rsidRPr="00351A65" w:rsidRDefault="00D75473" w:rsidP="000F2BB4">
      <w:pPr>
        <w:pStyle w:val="Paragraphedeliste"/>
        <w:numPr>
          <w:ilvl w:val="1"/>
          <w:numId w:val="1"/>
        </w:numPr>
        <w:ind w:left="709"/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le renforcement de la capacité de l’Etat à fournir des services de base aux populations, spécialement en matière d’éduca</w:t>
      </w:r>
      <w:r w:rsidR="003066EC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tion et de gestion des risques</w:t>
      </w: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. </w:t>
      </w:r>
    </w:p>
    <w:p w14:paraId="50D08365" w14:textId="77777777" w:rsidR="00D75473" w:rsidRPr="00351A65" w:rsidRDefault="00D75473" w:rsidP="003066EC">
      <w:pPr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Deux modalités de mise en œuvre ont été définies dans le cadre de ce programme, à savoir : </w:t>
      </w:r>
    </w:p>
    <w:p w14:paraId="6A4D9FF7" w14:textId="77777777" w:rsidR="00D75473" w:rsidRPr="00351A65" w:rsidRDefault="00D75473" w:rsidP="000F2BB4">
      <w:pPr>
        <w:pStyle w:val="Paragraphedeliste"/>
        <w:numPr>
          <w:ilvl w:val="1"/>
          <w:numId w:val="1"/>
        </w:numPr>
        <w:ind w:left="709"/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Un appui budgétaire de 100 millions d’euros pour l’appui à la consolidation de l’Etat, réparti en plusieurs tranches fixes et variables, et incluant des activités telles que le dialogue politique, les transferts financiers, les revues de performance, le </w:t>
      </w:r>
      <w:proofErr w:type="spellStart"/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reporting</w:t>
      </w:r>
      <w:proofErr w:type="spellEnd"/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et le développement des capacités.</w:t>
      </w:r>
    </w:p>
    <w:p w14:paraId="3EFEC49C" w14:textId="005D515F" w:rsidR="000F2BB4" w:rsidRPr="00351A65" w:rsidRDefault="00D75473" w:rsidP="000F2BB4">
      <w:pPr>
        <w:pStyle w:val="Paragraphedeliste"/>
        <w:numPr>
          <w:ilvl w:val="1"/>
          <w:numId w:val="1"/>
        </w:numPr>
        <w:ind w:left="709"/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Un appui </w:t>
      </w:r>
      <w:r w:rsidR="00A75A88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complémentaire de</w:t>
      </w: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20 millions d’euros concernant l’assistance technique nécessaire à la réforme de l’Etat et des finances publiques, la gouvernance locale et à la résilience et éducation</w:t>
      </w:r>
      <w:r w:rsidR="000F2BB4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. </w:t>
      </w:r>
    </w:p>
    <w:p w14:paraId="4EC97481" w14:textId="26CCB67F" w:rsidR="00B032D6" w:rsidRPr="00351A65" w:rsidRDefault="009A03A9" w:rsidP="00B032D6">
      <w:pPr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Expertise France</w:t>
      </w:r>
      <w:r w:rsidR="00551120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, l’</w:t>
      </w:r>
      <w:r w:rsidR="00B032D6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a</w:t>
      </w:r>
      <w:r w:rsidR="00551120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gence française d’expertise technique internationale, a été choisie par l’Union Européenne pour </w:t>
      </w:r>
      <w:r w:rsidR="00B032D6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mettre</w:t>
      </w:r>
      <w:r w:rsidR="00551120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en œuvre une partie de l’appui complémentaire</w:t>
      </w:r>
      <w:r w:rsidR="00B032D6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auprès du</w:t>
      </w:r>
      <w:r w:rsidR="00551120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Ministère </w:t>
      </w:r>
      <w:r w:rsidR="00DD493A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de l’</w:t>
      </w:r>
      <w:r w:rsidR="005F4FD9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Economie et des F</w:t>
      </w:r>
      <w:r w:rsidR="00DD493A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inances</w:t>
      </w:r>
      <w:r w:rsidR="005F4FD9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(MEF)</w:t>
      </w:r>
      <w:r w:rsidR="00DD493A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, du Ministère de l’Intérieur et des </w:t>
      </w:r>
      <w:r w:rsidR="005F4FD9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C</w:t>
      </w:r>
      <w:r w:rsidR="00DD493A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ollectivités </w:t>
      </w:r>
      <w:r w:rsidR="005F4FD9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T</w:t>
      </w:r>
      <w:r w:rsidR="00DD493A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erritoriales</w:t>
      </w:r>
      <w:r w:rsidR="005F4FD9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(MICT)</w:t>
      </w:r>
      <w:r w:rsidR="00DD493A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et de </w:t>
      </w:r>
      <w:r w:rsidR="00551120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l’Education Nationale et de la Formation Professionnelle</w:t>
      </w:r>
      <w:r w:rsidR="005F4FD9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(MENFP)</w:t>
      </w:r>
      <w:r w:rsidR="00832895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, </w:t>
      </w:r>
      <w:r w:rsidR="00C23B90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via un projet de renforcement de capacité. </w:t>
      </w:r>
      <w:r w:rsidR="004A7E04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Le projet mené par Expertise France a débuté en juillet 2018 et s’achèvera en mars 2022, avec un montant total de 5 500 000EUR.</w:t>
      </w:r>
    </w:p>
    <w:p w14:paraId="194EFABB" w14:textId="0EE75876" w:rsidR="00C23B90" w:rsidRPr="00351A65" w:rsidRDefault="00C23B90" w:rsidP="003018A4">
      <w:pPr>
        <w:spacing w:after="0"/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Ce projet est organisé autour de </w:t>
      </w:r>
      <w:r w:rsidR="003018A4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3 composantes</w:t>
      </w:r>
      <w:r w:rsidR="00E8016A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doté</w:t>
      </w:r>
      <w:r w:rsidR="00712813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e</w:t>
      </w:r>
      <w:r w:rsidR="00E8016A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chacune de résultats à atteindre</w:t>
      </w:r>
      <w:r w:rsidR="003018A4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 : </w:t>
      </w:r>
    </w:p>
    <w:p w14:paraId="13504E7D" w14:textId="2001E16B" w:rsidR="003018A4" w:rsidRPr="00351A65" w:rsidRDefault="003018A4" w:rsidP="003018A4">
      <w:pPr>
        <w:pStyle w:val="Paragraphedeliste"/>
        <w:numPr>
          <w:ilvl w:val="0"/>
          <w:numId w:val="16"/>
        </w:numPr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Composante A – Réforme de l’administration fiscale</w:t>
      </w:r>
    </w:p>
    <w:p w14:paraId="6A3C792D" w14:textId="4F0D3D7A" w:rsidR="00E8016A" w:rsidRPr="00351A65" w:rsidRDefault="00E8016A" w:rsidP="00E8016A">
      <w:pPr>
        <w:pStyle w:val="Paragraphedeliste"/>
        <w:numPr>
          <w:ilvl w:val="1"/>
          <w:numId w:val="16"/>
        </w:numPr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L’activité opérationnelle de la D</w:t>
      </w:r>
      <w:r w:rsidR="00AF50F7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irection </w:t>
      </w: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G</w:t>
      </w:r>
      <w:r w:rsidR="00AF50F7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énérale des Impôts (DGI)</w:t>
      </w: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est renforcée et les réformes fiscales sont </w:t>
      </w:r>
      <w:r w:rsidR="00AF50F7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pilotées</w:t>
      </w: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</w:t>
      </w:r>
      <w:r w:rsidR="00AF50F7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efficacement</w:t>
      </w:r>
    </w:p>
    <w:p w14:paraId="3D0EBA8E" w14:textId="7346A3EC" w:rsidR="00E8016A" w:rsidRPr="00351A65" w:rsidRDefault="00AF50F7" w:rsidP="00E8016A">
      <w:pPr>
        <w:pStyle w:val="Paragraphedeliste"/>
        <w:numPr>
          <w:ilvl w:val="1"/>
          <w:numId w:val="16"/>
        </w:numPr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Les compétences métiers de la DGI sont renforcées</w:t>
      </w:r>
    </w:p>
    <w:p w14:paraId="4A6A8394" w14:textId="5DD96523" w:rsidR="00AF50F7" w:rsidRPr="00351A65" w:rsidRDefault="00AF50F7" w:rsidP="00E8016A">
      <w:pPr>
        <w:pStyle w:val="Paragraphedeliste"/>
        <w:numPr>
          <w:ilvl w:val="1"/>
          <w:numId w:val="16"/>
        </w:numPr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L’assiette fiscale est élargie</w:t>
      </w:r>
    </w:p>
    <w:p w14:paraId="541251CF" w14:textId="7809E1FA" w:rsidR="00AF50F7" w:rsidRPr="00351A65" w:rsidRDefault="00AF50F7" w:rsidP="00E8016A">
      <w:pPr>
        <w:pStyle w:val="Paragraphedeliste"/>
        <w:numPr>
          <w:ilvl w:val="1"/>
          <w:numId w:val="16"/>
        </w:numPr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Les services offerts par la DGI aux usagers sont améliorés</w:t>
      </w:r>
    </w:p>
    <w:p w14:paraId="51EC480C" w14:textId="6F34F629" w:rsidR="003018A4" w:rsidRPr="00351A65" w:rsidRDefault="003018A4" w:rsidP="003018A4">
      <w:pPr>
        <w:pStyle w:val="Paragraphedeliste"/>
        <w:numPr>
          <w:ilvl w:val="0"/>
          <w:numId w:val="16"/>
        </w:numPr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Composante B – Gouvernance locale</w:t>
      </w:r>
    </w:p>
    <w:p w14:paraId="49FC3FEB" w14:textId="73A43719" w:rsidR="00AF50F7" w:rsidRPr="00351A65" w:rsidRDefault="00AF50F7" w:rsidP="00AF50F7">
      <w:pPr>
        <w:pStyle w:val="Paragraphedeliste"/>
        <w:numPr>
          <w:ilvl w:val="1"/>
          <w:numId w:val="16"/>
        </w:numPr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lastRenderedPageBreak/>
        <w:t xml:space="preserve">Les collectivités territoriales haïtiennes sont renforcées sur le plan </w:t>
      </w:r>
      <w:r w:rsidR="007770E2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institutionnel</w:t>
      </w:r>
    </w:p>
    <w:p w14:paraId="245BBBC2" w14:textId="7E115443" w:rsidR="00AF50F7" w:rsidRPr="00351A65" w:rsidRDefault="007770E2" w:rsidP="00AF50F7">
      <w:pPr>
        <w:pStyle w:val="Paragraphedeliste"/>
        <w:numPr>
          <w:ilvl w:val="1"/>
          <w:numId w:val="16"/>
        </w:numPr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Les ressources des collectivités territoriales augmentent</w:t>
      </w:r>
    </w:p>
    <w:p w14:paraId="79DA9522" w14:textId="5AE28A11" w:rsidR="007770E2" w:rsidRPr="00351A65" w:rsidRDefault="007770E2" w:rsidP="007770E2">
      <w:pPr>
        <w:pStyle w:val="Paragraphedeliste"/>
        <w:numPr>
          <w:ilvl w:val="1"/>
          <w:numId w:val="16"/>
        </w:numPr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La gestion budgétaire des collectivités territoriales est renforcée</w:t>
      </w:r>
    </w:p>
    <w:p w14:paraId="17CD87BD" w14:textId="588F21F8" w:rsidR="00D10125" w:rsidRPr="00351A65" w:rsidRDefault="003018A4" w:rsidP="009A03A9">
      <w:pPr>
        <w:pStyle w:val="Paragraphedeliste"/>
        <w:numPr>
          <w:ilvl w:val="0"/>
          <w:numId w:val="16"/>
        </w:numPr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Composante C – Gouvernance financière de l’éducation </w:t>
      </w:r>
    </w:p>
    <w:p w14:paraId="3FD79A86" w14:textId="58EE0306" w:rsidR="007770E2" w:rsidRPr="00351A65" w:rsidRDefault="007770E2" w:rsidP="007770E2">
      <w:pPr>
        <w:pStyle w:val="Paragraphedeliste"/>
        <w:numPr>
          <w:ilvl w:val="1"/>
          <w:numId w:val="16"/>
        </w:numPr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L’enquête de suivi des dépenses publique est disponible et diffusée</w:t>
      </w:r>
    </w:p>
    <w:p w14:paraId="3A3224F2" w14:textId="620BAFEC" w:rsidR="007770E2" w:rsidRPr="00351A65" w:rsidRDefault="007770E2" w:rsidP="007770E2">
      <w:pPr>
        <w:pStyle w:val="Paragraphedeliste"/>
        <w:numPr>
          <w:ilvl w:val="1"/>
          <w:numId w:val="16"/>
        </w:numPr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Les </w:t>
      </w:r>
      <w:r w:rsidR="005F4FD9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procédures</w:t>
      </w: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d’</w:t>
      </w:r>
      <w:r w:rsidR="005F4FD9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exécution</w:t>
      </w: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du budget du MENFP sont fiabilisées et renforcées</w:t>
      </w:r>
    </w:p>
    <w:p w14:paraId="1526BD83" w14:textId="5255425F" w:rsidR="007770E2" w:rsidRPr="00351A65" w:rsidRDefault="005F4FD9" w:rsidP="007770E2">
      <w:pPr>
        <w:pStyle w:val="Paragraphedeliste"/>
        <w:numPr>
          <w:ilvl w:val="1"/>
          <w:numId w:val="16"/>
        </w:numPr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Le dialogue entre le MEF et le MENFP est renforcé</w:t>
      </w:r>
    </w:p>
    <w:p w14:paraId="1608E345" w14:textId="10261758" w:rsidR="00EA40E7" w:rsidRDefault="00066492" w:rsidP="003018A4">
      <w:pPr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066492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Le projet a été signé et lancé en 2018 dans un contexte tendu suite au lancement du mouvement de contestation « Petro Caribe » et à divers épisodes violant notamment les émeutes juillets 2018 lié</w:t>
      </w:r>
      <w:r w:rsidR="001E6498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es</w:t>
      </w:r>
      <w:r w:rsidRPr="00066492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à l’augmentation exponentielle des prix du carburant.  Dès 2019, la crise </w:t>
      </w:r>
      <w:r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haïtienne </w:t>
      </w:r>
      <w:r w:rsidRPr="00066492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s’est ancrée dans le temps puis au contexte de troubles socio-politiques majeurs s’est ajoutée une crise sanitaire mondiale sans précédent liée à la pandémie de coronavirus en 2020.</w:t>
      </w:r>
      <w:r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</w:t>
      </w:r>
    </w:p>
    <w:p w14:paraId="120F5089" w14:textId="7C1397DC" w:rsidR="000043CA" w:rsidRPr="00351A65" w:rsidRDefault="00EA40E7" w:rsidP="003018A4">
      <w:pPr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Le programme qui devait initialement se terminer au 31 mars 2021 a été prolongé jusqu’en </w:t>
      </w:r>
      <w:r w:rsidR="001E6498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mars </w:t>
      </w:r>
      <w:r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2022</w:t>
      </w:r>
      <w:r w:rsidR="001E6498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(extension de 12 mois)</w:t>
      </w:r>
      <w:r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. Une nouvelle prolongation pourrait être envisagée en fonction de l’évolution de la situation et des négociation</w:t>
      </w:r>
      <w:r w:rsidR="001E6498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s</w:t>
      </w:r>
      <w:r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relative</w:t>
      </w:r>
      <w:r w:rsidR="001E6498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s</w:t>
      </w:r>
      <w:r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à l’aide budgétaire haïtienne. </w:t>
      </w:r>
    </w:p>
    <w:p w14:paraId="31B7054F" w14:textId="77777777" w:rsidR="00351A65" w:rsidRDefault="00351A65" w:rsidP="0006726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="Arial"/>
          <w:b/>
          <w:sz w:val="28"/>
          <w:szCs w:val="28"/>
        </w:rPr>
      </w:pPr>
    </w:p>
    <w:p w14:paraId="39D2D9F8" w14:textId="48A65FD3" w:rsidR="009A03A9" w:rsidRPr="00067263" w:rsidRDefault="00067263" w:rsidP="0006726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OBJECTIFS ET METHODOLOGIE</w:t>
      </w:r>
      <w:r w:rsidR="009A03A9" w:rsidRPr="00067263">
        <w:rPr>
          <w:rFonts w:cs="Arial"/>
          <w:b/>
          <w:sz w:val="28"/>
          <w:szCs w:val="28"/>
        </w:rPr>
        <w:t xml:space="preserve"> </w:t>
      </w:r>
    </w:p>
    <w:p w14:paraId="6900C00E" w14:textId="77777777" w:rsidR="009A03A9" w:rsidRPr="002F3AA3" w:rsidRDefault="009A03A9" w:rsidP="009A03A9">
      <w:pPr>
        <w:jc w:val="both"/>
        <w:rPr>
          <w:b/>
        </w:rPr>
      </w:pPr>
      <w:r w:rsidRPr="002F3AA3">
        <w:rPr>
          <w:b/>
        </w:rPr>
        <w:t>Objectifs généraux</w:t>
      </w:r>
    </w:p>
    <w:p w14:paraId="442C2C09" w14:textId="4A697C51" w:rsidR="00A73368" w:rsidRPr="00351A65" w:rsidRDefault="00652521" w:rsidP="00C911B2">
      <w:pPr>
        <w:spacing w:after="0"/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L'objectif de cette activité est </w:t>
      </w:r>
      <w:r w:rsidR="005C0915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de réaliser une évaluation </w:t>
      </w:r>
      <w:r w:rsidR="00B410BB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indépendante </w:t>
      </w:r>
      <w:r w:rsidR="005C0915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du</w:t>
      </w:r>
      <w:r w:rsidR="00A73368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</w:t>
      </w:r>
      <w:r w:rsidR="00D56F97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Projet d’appui</w:t>
      </w:r>
      <w:r w:rsidR="0027354D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à la fiscalité, la gouvernance du territoire, la gouvernance financière de l’éducation en Haïti</w:t>
      </w:r>
      <w:r w:rsidR="00D56F97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mis en œuvre par Expertise France</w:t>
      </w:r>
      <w:r w:rsidR="0027354D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</w:t>
      </w:r>
      <w:r w:rsidR="00A73368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afin de permettre de : </w:t>
      </w:r>
    </w:p>
    <w:p w14:paraId="6DA23480" w14:textId="13CD5843" w:rsidR="00A73368" w:rsidRPr="00351A65" w:rsidRDefault="00A73368" w:rsidP="00A73368">
      <w:pPr>
        <w:pStyle w:val="Paragraphedeliste"/>
        <w:numPr>
          <w:ilvl w:val="1"/>
          <w:numId w:val="1"/>
        </w:numPr>
        <w:ind w:left="709"/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mesurer l’avancée des activités </w:t>
      </w:r>
      <w:r w:rsidR="005C0915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et nourrir la stratégie de sortie du </w:t>
      </w:r>
      <w:r w:rsidR="00D56F97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projet </w:t>
      </w:r>
    </w:p>
    <w:p w14:paraId="02C50D89" w14:textId="1383E74D" w:rsidR="00A73368" w:rsidRPr="00351A65" w:rsidRDefault="00A73368" w:rsidP="00A73368">
      <w:pPr>
        <w:pStyle w:val="Paragraphedeliste"/>
        <w:numPr>
          <w:ilvl w:val="1"/>
          <w:numId w:val="1"/>
        </w:numPr>
        <w:ind w:left="709"/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identifier et mesurer les impacts positifs et </w:t>
      </w:r>
      <w:r w:rsidR="00961BF6"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négatifs du programme en mettant en exergue les lignes directrices d’une stratégie de capitalisation</w:t>
      </w:r>
    </w:p>
    <w:p w14:paraId="7800E881" w14:textId="31BB3E81" w:rsidR="00712813" w:rsidRPr="00351A65" w:rsidRDefault="00A73368" w:rsidP="00067263">
      <w:pPr>
        <w:pStyle w:val="Paragraphedeliste"/>
        <w:numPr>
          <w:ilvl w:val="1"/>
          <w:numId w:val="1"/>
        </w:numPr>
        <w:ind w:left="709"/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351A6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produire les données nécessaires pour alimenter la stratégie de communication. </w:t>
      </w:r>
    </w:p>
    <w:p w14:paraId="0F213BE2" w14:textId="77777777" w:rsidR="002A1991" w:rsidRPr="002F4066" w:rsidRDefault="002A1991" w:rsidP="002F4066">
      <w:pPr>
        <w:spacing w:before="360"/>
        <w:jc w:val="both"/>
        <w:rPr>
          <w:rFonts w:eastAsia="Times New Roman" w:cs="Arial"/>
          <w:b/>
          <w:szCs w:val="24"/>
        </w:rPr>
      </w:pPr>
      <w:r>
        <w:rPr>
          <w:rFonts w:eastAsia="Times New Roman" w:cs="Arial"/>
          <w:b/>
          <w:szCs w:val="24"/>
        </w:rPr>
        <w:t xml:space="preserve">Méthode et organisation </w:t>
      </w:r>
    </w:p>
    <w:p w14:paraId="6FF0E732" w14:textId="034194A7" w:rsidR="00961BF6" w:rsidRPr="00830E83" w:rsidRDefault="00961BF6" w:rsidP="00961BF6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830E83">
        <w:rPr>
          <w:rFonts w:asciiTheme="minorHAnsi" w:hAnsiTheme="minorHAnsi" w:cstheme="minorHAnsi"/>
        </w:rPr>
        <w:t>Cette évaluation sera conduite au regard de</w:t>
      </w:r>
      <w:r w:rsidR="00AF3400">
        <w:rPr>
          <w:rFonts w:asciiTheme="minorHAnsi" w:hAnsiTheme="minorHAnsi" w:cstheme="minorHAnsi"/>
        </w:rPr>
        <w:t xml:space="preserve"> </w:t>
      </w:r>
      <w:r w:rsidRPr="00830E83">
        <w:rPr>
          <w:rFonts w:asciiTheme="minorHAnsi" w:hAnsiTheme="minorHAnsi" w:cstheme="minorHAnsi"/>
        </w:rPr>
        <w:t>critères tirés des critères d’évaluation des projets d’aide au développement posés par le Comité de l’Aide au Développement de l’OCDE : effectivité, efficacité et efficience.</w:t>
      </w:r>
    </w:p>
    <w:p w14:paraId="678FF62B" w14:textId="1073B86E" w:rsidR="00961BF6" w:rsidRDefault="00961BF6" w:rsidP="00961BF6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 bureau d’études / les</w:t>
      </w:r>
      <w:r w:rsidRPr="00830E83">
        <w:rPr>
          <w:rFonts w:asciiTheme="minorHAnsi" w:hAnsiTheme="minorHAnsi" w:cstheme="minorHAnsi"/>
        </w:rPr>
        <w:t xml:space="preserve"> experts missionnés veilleront dans leurs travaux à prendre en compte le contexte institutionnel </w:t>
      </w:r>
      <w:r>
        <w:rPr>
          <w:rFonts w:asciiTheme="minorHAnsi" w:hAnsiTheme="minorHAnsi" w:cstheme="minorHAnsi"/>
        </w:rPr>
        <w:t>Haïtien</w:t>
      </w:r>
      <w:r w:rsidRPr="00830E83">
        <w:rPr>
          <w:rFonts w:asciiTheme="minorHAnsi" w:hAnsiTheme="minorHAnsi" w:cstheme="minorHAnsi"/>
        </w:rPr>
        <w:t xml:space="preserve"> actuel ainsi que les projets et initiatives soutenus </w:t>
      </w:r>
      <w:r w:rsidR="00B410BB">
        <w:rPr>
          <w:rFonts w:asciiTheme="minorHAnsi" w:hAnsiTheme="minorHAnsi" w:cstheme="minorHAnsi"/>
        </w:rPr>
        <w:t>dans le cadre du SBC-2</w:t>
      </w:r>
      <w:r w:rsidRPr="00830E83">
        <w:rPr>
          <w:rFonts w:asciiTheme="minorHAnsi" w:hAnsiTheme="minorHAnsi" w:cstheme="minorHAnsi"/>
        </w:rPr>
        <w:t xml:space="preserve">. </w:t>
      </w:r>
    </w:p>
    <w:p w14:paraId="0C5B6EF8" w14:textId="0C6B853F" w:rsidR="00961BF6" w:rsidRPr="00067263" w:rsidRDefault="00961BF6" w:rsidP="00067263">
      <w:pPr>
        <w:pStyle w:val="Default"/>
        <w:spacing w:after="200" w:line="276" w:lineRule="auto"/>
        <w:jc w:val="both"/>
        <w:rPr>
          <w:rFonts w:asciiTheme="minorHAnsi" w:hAnsiTheme="minorHAnsi" w:cstheme="minorHAnsi"/>
        </w:rPr>
      </w:pPr>
      <w:bookmarkStart w:id="0" w:name="_GoBack"/>
      <w:r w:rsidRPr="00830E83">
        <w:rPr>
          <w:rFonts w:asciiTheme="minorHAnsi" w:hAnsiTheme="minorHAnsi" w:cstheme="minorHAnsi"/>
        </w:rPr>
        <w:t>La mission se déroulera en trois étapes : (1) préparation des travaux, (2) réalisation de l’évaluation et partage des conclusions et recommandations, (3) production du rapport final</w:t>
      </w:r>
      <w:r>
        <w:rPr>
          <w:rFonts w:asciiTheme="minorHAnsi" w:hAnsiTheme="minorHAnsi" w:cstheme="minorHAnsi"/>
        </w:rPr>
        <w:t>.</w:t>
      </w:r>
    </w:p>
    <w:bookmarkEnd w:id="0"/>
    <w:p w14:paraId="1425B698" w14:textId="65362010" w:rsidR="00B410BB" w:rsidRPr="00830E83" w:rsidRDefault="00B410BB" w:rsidP="00067263">
      <w:pPr>
        <w:pStyle w:val="Default"/>
        <w:numPr>
          <w:ilvl w:val="0"/>
          <w:numId w:val="29"/>
        </w:numPr>
        <w:spacing w:after="120" w:line="276" w:lineRule="auto"/>
        <w:jc w:val="both"/>
        <w:rPr>
          <w:rFonts w:asciiTheme="minorHAnsi" w:hAnsiTheme="minorHAnsi" w:cstheme="minorHAnsi"/>
          <w:b/>
        </w:rPr>
      </w:pPr>
      <w:r w:rsidRPr="00830E83">
        <w:rPr>
          <w:rFonts w:asciiTheme="minorHAnsi" w:hAnsiTheme="minorHAnsi" w:cstheme="minorHAnsi"/>
          <w:b/>
        </w:rPr>
        <w:t>Etape 1 : préparation des travaux (à distance)</w:t>
      </w:r>
      <w:r w:rsidR="00A024BB">
        <w:rPr>
          <w:rFonts w:asciiTheme="minorHAnsi" w:hAnsiTheme="minorHAnsi" w:cstheme="minorHAnsi"/>
          <w:b/>
        </w:rPr>
        <w:t xml:space="preserve"> – </w:t>
      </w:r>
      <w:r w:rsidR="003E79DA">
        <w:rPr>
          <w:rFonts w:asciiTheme="minorHAnsi" w:hAnsiTheme="minorHAnsi" w:cstheme="minorHAnsi"/>
          <w:b/>
        </w:rPr>
        <w:t xml:space="preserve">deuxième </w:t>
      </w:r>
      <w:r w:rsidR="00A024BB">
        <w:rPr>
          <w:rFonts w:asciiTheme="minorHAnsi" w:hAnsiTheme="minorHAnsi" w:cstheme="minorHAnsi"/>
          <w:b/>
        </w:rPr>
        <w:t>quinzaine de septembre 2021</w:t>
      </w:r>
    </w:p>
    <w:p w14:paraId="05DAA510" w14:textId="097BE7D1" w:rsidR="00B410BB" w:rsidRPr="00F3495F" w:rsidRDefault="00B410BB" w:rsidP="00B410BB">
      <w:pPr>
        <w:spacing w:line="276" w:lineRule="auto"/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830E83">
        <w:rPr>
          <w:rFonts w:eastAsia="Arial" w:cstheme="minorHAnsi" w:hint="eastAsia"/>
          <w:color w:val="000000"/>
        </w:rPr>
        <w:lastRenderedPageBreak/>
        <w:t>L</w:t>
      </w:r>
      <w:r>
        <w:rPr>
          <w:rFonts w:eastAsia="Arial" w:cstheme="minorHAnsi"/>
          <w:color w:val="000000"/>
        </w:rPr>
        <w:t>’</w:t>
      </w:r>
      <w:r w:rsidRPr="00830E83">
        <w:rPr>
          <w:rFonts w:eastAsia="Arial" w:cstheme="minorHAnsi" w:hint="eastAsia"/>
          <w:color w:val="000000"/>
        </w:rPr>
        <w:t xml:space="preserve">intervention </w:t>
      </w:r>
      <w:r w:rsidRPr="00F3495F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démarrera</w:t>
      </w:r>
      <w:r w:rsidRPr="00F3495F">
        <w:rPr>
          <w:rFonts w:eastAsia="Arial" w:cstheme="minorHAnsi" w:hint="eastAsia"/>
          <w:color w:val="000000"/>
          <w:kern w:val="3"/>
          <w:sz w:val="24"/>
          <w:szCs w:val="24"/>
          <w:lang w:eastAsia="zh-CN" w:bidi="hi-IN"/>
        </w:rPr>
        <w:t xml:space="preserve"> par une </w:t>
      </w:r>
      <w:r w:rsidRPr="00F3495F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visioconférence</w:t>
      </w:r>
      <w:r w:rsidR="00F3495F" w:rsidRPr="00F3495F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en guise de réunion de lancement</w:t>
      </w:r>
      <w:r w:rsidRPr="00F3495F">
        <w:rPr>
          <w:rFonts w:eastAsia="Arial" w:cstheme="minorHAnsi" w:hint="eastAsia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F3495F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entre</w:t>
      </w:r>
      <w:r w:rsidRPr="00F3495F">
        <w:rPr>
          <w:rFonts w:eastAsia="Arial" w:cstheme="minorHAnsi" w:hint="eastAsia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F3495F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l’équipe d’évaluation</w:t>
      </w:r>
      <w:r w:rsidRPr="00F3495F">
        <w:rPr>
          <w:rFonts w:eastAsia="Arial" w:cstheme="minorHAnsi" w:hint="eastAsia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F3495F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et</w:t>
      </w:r>
      <w:r w:rsidRPr="00F3495F">
        <w:rPr>
          <w:rFonts w:eastAsia="Arial" w:cstheme="minorHAnsi" w:hint="eastAsia"/>
          <w:color w:val="000000"/>
          <w:kern w:val="3"/>
          <w:sz w:val="24"/>
          <w:szCs w:val="24"/>
          <w:lang w:eastAsia="zh-CN" w:bidi="hi-IN"/>
        </w:rPr>
        <w:t xml:space="preserve"> </w:t>
      </w:r>
      <w:r w:rsidRPr="00F3495F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Expertise France</w:t>
      </w:r>
      <w:r w:rsidR="001C77EA" w:rsidRPr="00F3495F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(experts long terme en Haïti, coordinatrice </w:t>
      </w:r>
      <w:r w:rsidRPr="00F3495F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et équipe projet Siège) et l’Union Européenne (Délégation de l’UE en </w:t>
      </w:r>
      <w:r w:rsidR="001C77EA" w:rsidRPr="00F3495F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Haïti</w:t>
      </w:r>
      <w:r w:rsidRPr="00F3495F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) pour échanger sur les attendus de la m</w:t>
      </w:r>
      <w:r w:rsidRPr="00F3495F">
        <w:rPr>
          <w:rFonts w:eastAsia="Arial" w:cstheme="minorHAnsi" w:hint="eastAsia"/>
          <w:color w:val="000000"/>
          <w:kern w:val="3"/>
          <w:sz w:val="24"/>
          <w:szCs w:val="24"/>
          <w:lang w:eastAsia="zh-CN" w:bidi="hi-IN"/>
        </w:rPr>
        <w:t xml:space="preserve">ission, ses </w:t>
      </w:r>
      <w:r w:rsidRPr="00F3495F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modalités</w:t>
      </w:r>
      <w:r w:rsidRPr="00F3495F">
        <w:rPr>
          <w:rFonts w:eastAsia="Arial" w:cstheme="minorHAnsi" w:hint="eastAsia"/>
          <w:color w:val="000000"/>
          <w:kern w:val="3"/>
          <w:sz w:val="24"/>
          <w:szCs w:val="24"/>
          <w:lang w:eastAsia="zh-CN" w:bidi="hi-IN"/>
        </w:rPr>
        <w:t xml:space="preserve"> de mise en </w:t>
      </w:r>
      <w:r w:rsidRPr="00F3495F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œuvre</w:t>
      </w:r>
      <w:r w:rsidRPr="00F3495F">
        <w:rPr>
          <w:rFonts w:eastAsia="Arial" w:cstheme="minorHAnsi" w:hint="eastAsia"/>
          <w:color w:val="000000"/>
          <w:kern w:val="3"/>
          <w:sz w:val="24"/>
          <w:szCs w:val="24"/>
          <w:lang w:eastAsia="zh-CN" w:bidi="hi-IN"/>
        </w:rPr>
        <w:t xml:space="preserve"> et les points d</w:t>
      </w:r>
      <w:r w:rsidRPr="00F3495F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’</w:t>
      </w:r>
      <w:r w:rsidRPr="00F3495F">
        <w:rPr>
          <w:rFonts w:eastAsia="Arial" w:cstheme="minorHAnsi" w:hint="eastAsia"/>
          <w:color w:val="000000"/>
          <w:kern w:val="3"/>
          <w:sz w:val="24"/>
          <w:szCs w:val="24"/>
          <w:lang w:eastAsia="zh-CN" w:bidi="hi-IN"/>
        </w:rPr>
        <w:t xml:space="preserve">attention </w:t>
      </w:r>
      <w:r w:rsidRPr="00F3495F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à</w:t>
      </w:r>
      <w:r w:rsidRPr="00F3495F">
        <w:rPr>
          <w:rFonts w:eastAsia="Arial" w:cstheme="minorHAnsi" w:hint="eastAsia"/>
          <w:color w:val="000000"/>
          <w:kern w:val="3"/>
          <w:sz w:val="24"/>
          <w:szCs w:val="24"/>
          <w:lang w:eastAsia="zh-CN" w:bidi="hi-IN"/>
        </w:rPr>
        <w:t xml:space="preserve"> garder </w:t>
      </w:r>
      <w:r w:rsidRPr="00F3495F">
        <w:rPr>
          <w:rFonts w:eastAsia="Arial" w:cstheme="minorHAnsi" w:hint="eastAsia"/>
          <w:color w:val="000000"/>
          <w:kern w:val="3"/>
          <w:sz w:val="24"/>
          <w:szCs w:val="24"/>
          <w:lang w:eastAsia="zh-CN" w:bidi="hi-IN"/>
        </w:rPr>
        <w:t>à</w:t>
      </w:r>
      <w:r w:rsidRPr="00F3495F">
        <w:rPr>
          <w:rFonts w:eastAsia="Arial" w:cstheme="minorHAnsi" w:hint="eastAsia"/>
          <w:color w:val="000000"/>
          <w:kern w:val="3"/>
          <w:sz w:val="24"/>
          <w:szCs w:val="24"/>
          <w:lang w:eastAsia="zh-CN" w:bidi="hi-IN"/>
        </w:rPr>
        <w:t xml:space="preserve"> l</w:t>
      </w:r>
      <w:r w:rsidRPr="00F3495F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’</w:t>
      </w:r>
      <w:r w:rsidRPr="00F3495F">
        <w:rPr>
          <w:rFonts w:eastAsia="Arial" w:cstheme="minorHAnsi" w:hint="eastAsia"/>
          <w:color w:val="000000"/>
          <w:kern w:val="3"/>
          <w:sz w:val="24"/>
          <w:szCs w:val="24"/>
          <w:lang w:eastAsia="zh-CN" w:bidi="hi-IN"/>
        </w:rPr>
        <w:t>esprit.</w:t>
      </w:r>
      <w:r w:rsidRPr="00F3495F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 xml:space="preserve"> </w:t>
      </w:r>
    </w:p>
    <w:p w14:paraId="4B621A97" w14:textId="6EA224BB" w:rsidR="00B410BB" w:rsidRPr="00A71499" w:rsidRDefault="00B410BB" w:rsidP="00B410BB">
      <w:pPr>
        <w:pStyle w:val="Sansinterligne"/>
        <w:spacing w:after="160" w:line="276" w:lineRule="auto"/>
        <w:jc w:val="both"/>
        <w:rPr>
          <w:rFonts w:asciiTheme="minorHAnsi" w:hAnsiTheme="minorHAnsi" w:cstheme="minorHAnsi"/>
        </w:rPr>
      </w:pPr>
      <w:r w:rsidRPr="00830E83">
        <w:rPr>
          <w:rFonts w:asciiTheme="minorHAnsi" w:eastAsia="Arial" w:hAnsiTheme="minorHAnsi" w:cstheme="minorHAnsi"/>
          <w:color w:val="000000"/>
          <w:szCs w:val="24"/>
        </w:rPr>
        <w:t xml:space="preserve">L’équipe d’évaluation procèdera ensuite à un examen des documents projet qui auront été mis à sa disposition par Expertise France : documents d’identification et d’instruction de l’UE, cadre logique initial et actualisé, </w:t>
      </w:r>
      <w:r w:rsidR="001C77EA">
        <w:rPr>
          <w:rFonts w:asciiTheme="minorHAnsi" w:eastAsia="Arial" w:hAnsiTheme="minorHAnsi" w:cstheme="minorHAnsi"/>
          <w:color w:val="000000"/>
          <w:szCs w:val="24"/>
        </w:rPr>
        <w:t xml:space="preserve">outils S&amp;E, </w:t>
      </w:r>
      <w:r w:rsidRPr="00830E83">
        <w:rPr>
          <w:rFonts w:asciiTheme="minorHAnsi" w:eastAsia="Arial" w:hAnsiTheme="minorHAnsi" w:cstheme="minorHAnsi"/>
          <w:color w:val="000000"/>
          <w:szCs w:val="24"/>
        </w:rPr>
        <w:t>livrables produits, rapports périodiques de suivi-pilotage</w:t>
      </w:r>
      <w:r w:rsidR="000E4CB8">
        <w:rPr>
          <w:rFonts w:asciiTheme="minorHAnsi" w:eastAsia="Arial" w:hAnsiTheme="minorHAnsi" w:cstheme="minorHAnsi"/>
          <w:color w:val="000000"/>
          <w:szCs w:val="24"/>
        </w:rPr>
        <w:t xml:space="preserve"> (entre autre le dernier rapport annuel 2020-2021)</w:t>
      </w:r>
      <w:r w:rsidRPr="00830E83">
        <w:rPr>
          <w:rFonts w:asciiTheme="minorHAnsi" w:eastAsia="Arial" w:hAnsiTheme="minorHAnsi" w:cstheme="minorHAnsi"/>
          <w:color w:val="000000"/>
          <w:szCs w:val="24"/>
        </w:rPr>
        <w:t>, documents sur l’exécution financière du projet</w:t>
      </w:r>
      <w:r w:rsidR="001C77EA">
        <w:rPr>
          <w:rFonts w:asciiTheme="minorHAnsi" w:eastAsia="Arial" w:hAnsiTheme="minorHAnsi" w:cstheme="minorHAnsi"/>
          <w:color w:val="000000"/>
          <w:szCs w:val="24"/>
        </w:rPr>
        <w:t xml:space="preserve"> etc.</w:t>
      </w:r>
      <w:r w:rsidR="00A71499">
        <w:rPr>
          <w:rFonts w:asciiTheme="minorHAnsi" w:hAnsiTheme="minorHAnsi" w:cstheme="minorHAnsi"/>
        </w:rPr>
        <w:t xml:space="preserve"> </w:t>
      </w:r>
      <w:r w:rsidRPr="00830E83">
        <w:rPr>
          <w:rFonts w:asciiTheme="minorHAnsi" w:eastAsia="Arial" w:hAnsiTheme="minorHAnsi" w:cstheme="minorHAnsi"/>
          <w:color w:val="000000"/>
          <w:szCs w:val="24"/>
        </w:rPr>
        <w:t xml:space="preserve">Cette analyse documentaire </w:t>
      </w:r>
      <w:r w:rsidR="00A71499">
        <w:rPr>
          <w:rFonts w:asciiTheme="minorHAnsi" w:eastAsia="Arial" w:hAnsiTheme="minorHAnsi" w:cstheme="minorHAnsi"/>
          <w:color w:val="000000"/>
          <w:szCs w:val="24"/>
        </w:rPr>
        <w:t>pourra être</w:t>
      </w:r>
      <w:r w:rsidRPr="00830E83">
        <w:rPr>
          <w:rFonts w:asciiTheme="minorHAnsi" w:eastAsia="Arial" w:hAnsiTheme="minorHAnsi" w:cstheme="minorHAnsi"/>
          <w:color w:val="000000"/>
          <w:szCs w:val="24"/>
        </w:rPr>
        <w:t xml:space="preserve"> complétée par des entretiens </w:t>
      </w:r>
      <w:r>
        <w:rPr>
          <w:rFonts w:asciiTheme="minorHAnsi" w:eastAsia="Arial" w:hAnsiTheme="minorHAnsi" w:cstheme="minorHAnsi"/>
          <w:color w:val="000000"/>
          <w:szCs w:val="24"/>
        </w:rPr>
        <w:t xml:space="preserve">exploratoires à distance </w:t>
      </w:r>
      <w:r w:rsidRPr="00830E83">
        <w:rPr>
          <w:rFonts w:asciiTheme="minorHAnsi" w:eastAsia="Arial" w:hAnsiTheme="minorHAnsi" w:cstheme="minorHAnsi"/>
          <w:color w:val="000000"/>
          <w:szCs w:val="24"/>
        </w:rPr>
        <w:t>entre l’équipe d’évaluation et les acteurs majeurs d</w:t>
      </w:r>
      <w:r w:rsidR="001C77EA">
        <w:rPr>
          <w:rFonts w:asciiTheme="minorHAnsi" w:eastAsia="Arial" w:hAnsiTheme="minorHAnsi" w:cstheme="minorHAnsi"/>
          <w:color w:val="000000"/>
          <w:szCs w:val="24"/>
        </w:rPr>
        <w:t xml:space="preserve">e la </w:t>
      </w:r>
      <w:r w:rsidRPr="00830E83">
        <w:rPr>
          <w:rFonts w:asciiTheme="minorHAnsi" w:eastAsia="Arial" w:hAnsiTheme="minorHAnsi" w:cstheme="minorHAnsi"/>
          <w:color w:val="000000"/>
          <w:szCs w:val="24"/>
        </w:rPr>
        <w:t xml:space="preserve">mise en œuvre </w:t>
      </w:r>
      <w:r w:rsidR="001C77EA">
        <w:rPr>
          <w:rFonts w:asciiTheme="minorHAnsi" w:eastAsia="Arial" w:hAnsiTheme="minorHAnsi" w:cstheme="minorHAnsi"/>
          <w:color w:val="000000"/>
          <w:szCs w:val="24"/>
        </w:rPr>
        <w:t>du SBC2</w:t>
      </w:r>
      <w:r w:rsidRPr="00830E83">
        <w:rPr>
          <w:rFonts w:asciiTheme="minorHAnsi" w:eastAsia="Arial" w:hAnsiTheme="minorHAnsi" w:cstheme="minorHAnsi"/>
          <w:color w:val="000000"/>
          <w:szCs w:val="24"/>
        </w:rPr>
        <w:t xml:space="preserve"> (Union Européenne, Expertise France Siège, experts long terme Expertise France à </w:t>
      </w:r>
      <w:r w:rsidR="0026029D">
        <w:rPr>
          <w:rFonts w:asciiTheme="minorHAnsi" w:eastAsia="Arial" w:hAnsiTheme="minorHAnsi" w:cstheme="minorHAnsi"/>
          <w:color w:val="000000"/>
          <w:szCs w:val="24"/>
        </w:rPr>
        <w:t>Port au Prince</w:t>
      </w:r>
      <w:r w:rsidRPr="00830E83">
        <w:rPr>
          <w:rFonts w:asciiTheme="minorHAnsi" w:eastAsia="Arial" w:hAnsiTheme="minorHAnsi" w:cstheme="minorHAnsi"/>
          <w:color w:val="000000"/>
          <w:szCs w:val="24"/>
        </w:rPr>
        <w:t>).</w:t>
      </w:r>
    </w:p>
    <w:p w14:paraId="0DA2F889" w14:textId="77777777" w:rsidR="00B410BB" w:rsidRDefault="00B410BB" w:rsidP="00B410BB">
      <w:pPr>
        <w:pStyle w:val="Sansinterligne"/>
        <w:spacing w:after="60" w:line="276" w:lineRule="auto"/>
        <w:jc w:val="both"/>
        <w:rPr>
          <w:rFonts w:asciiTheme="minorHAnsi" w:hAnsiTheme="minorHAnsi" w:cstheme="minorHAnsi"/>
        </w:rPr>
      </w:pPr>
      <w:r w:rsidRPr="00830E83">
        <w:rPr>
          <w:rFonts w:asciiTheme="minorHAnsi" w:eastAsia="Arial" w:hAnsiTheme="minorHAnsi" w:cstheme="minorHAnsi"/>
          <w:color w:val="000000"/>
          <w:szCs w:val="24"/>
        </w:rPr>
        <w:t xml:space="preserve">Le livrable de cette </w:t>
      </w:r>
      <w:r>
        <w:rPr>
          <w:rFonts w:asciiTheme="minorHAnsi" w:eastAsia="Arial" w:hAnsiTheme="minorHAnsi" w:cstheme="minorHAnsi"/>
          <w:color w:val="000000"/>
          <w:szCs w:val="24"/>
        </w:rPr>
        <w:t xml:space="preserve">première </w:t>
      </w:r>
      <w:r w:rsidRPr="00830E83">
        <w:rPr>
          <w:rFonts w:asciiTheme="minorHAnsi" w:eastAsia="Arial" w:hAnsiTheme="minorHAnsi" w:cstheme="minorHAnsi"/>
          <w:color w:val="000000"/>
          <w:szCs w:val="24"/>
        </w:rPr>
        <w:t>étape sera une note de cadrage de la mission</w:t>
      </w:r>
      <w:r>
        <w:rPr>
          <w:rFonts w:asciiTheme="minorHAnsi" w:eastAsia="Arial" w:hAnsiTheme="minorHAnsi" w:cstheme="minorHAnsi"/>
          <w:color w:val="000000"/>
          <w:szCs w:val="24"/>
        </w:rPr>
        <w:t xml:space="preserve"> (8 pages maximum)</w:t>
      </w:r>
      <w:r w:rsidRPr="00830E83">
        <w:rPr>
          <w:rFonts w:asciiTheme="minorHAnsi" w:eastAsia="Arial" w:hAnsiTheme="minorHAnsi" w:cstheme="minorHAnsi"/>
          <w:color w:val="000000"/>
          <w:szCs w:val="24"/>
        </w:rPr>
        <w:t> :</w:t>
      </w:r>
    </w:p>
    <w:p w14:paraId="402565E7" w14:textId="77777777" w:rsidR="00B410BB" w:rsidRDefault="00B410BB" w:rsidP="00B410BB">
      <w:pPr>
        <w:pStyle w:val="Sansinterligne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color w:val="000000"/>
          <w:szCs w:val="24"/>
        </w:rPr>
        <w:t>restituant la compréhension par le prestataire du projet et de la mission ;</w:t>
      </w:r>
    </w:p>
    <w:p w14:paraId="75C3295A" w14:textId="77777777" w:rsidR="00B410BB" w:rsidRDefault="00B410BB" w:rsidP="00B410BB">
      <w:pPr>
        <w:pStyle w:val="Sansinterligne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eastAsia="Arial" w:hAnsiTheme="minorHAnsi" w:cstheme="minorHAnsi"/>
          <w:color w:val="000000"/>
          <w:szCs w:val="24"/>
        </w:rPr>
        <w:t>explicitant</w:t>
      </w:r>
      <w:r w:rsidRPr="00830E83">
        <w:rPr>
          <w:rFonts w:asciiTheme="minorHAnsi" w:eastAsia="Arial" w:hAnsiTheme="minorHAnsi" w:cstheme="minorHAnsi"/>
          <w:color w:val="000000"/>
          <w:szCs w:val="24"/>
        </w:rPr>
        <w:t xml:space="preserve"> les probléma</w:t>
      </w:r>
      <w:r>
        <w:rPr>
          <w:rFonts w:asciiTheme="minorHAnsi" w:eastAsia="Arial" w:hAnsiTheme="minorHAnsi" w:cstheme="minorHAnsi"/>
          <w:color w:val="000000"/>
          <w:szCs w:val="24"/>
        </w:rPr>
        <w:t>tiques et les points à creuser ;</w:t>
      </w:r>
    </w:p>
    <w:p w14:paraId="5B166B1D" w14:textId="5CFC317B" w:rsidR="00B410BB" w:rsidRDefault="00B410BB" w:rsidP="00B410BB">
      <w:pPr>
        <w:pStyle w:val="Sansinterligne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830E83">
        <w:rPr>
          <w:rFonts w:asciiTheme="minorHAnsi" w:eastAsia="Arial" w:hAnsiTheme="minorHAnsi" w:cstheme="minorHAnsi"/>
          <w:color w:val="000000"/>
          <w:szCs w:val="24"/>
        </w:rPr>
        <w:t>détaillant le référentiel d’évaluation d’étape de la performance globale du projet (</w:t>
      </w:r>
      <w:r>
        <w:rPr>
          <w:rFonts w:asciiTheme="minorHAnsi" w:eastAsia="Arial" w:hAnsiTheme="minorHAnsi" w:cstheme="minorHAnsi"/>
          <w:color w:val="000000"/>
          <w:szCs w:val="24"/>
        </w:rPr>
        <w:t xml:space="preserve">définition de la </w:t>
      </w:r>
      <w:r w:rsidRPr="00830E83">
        <w:rPr>
          <w:rFonts w:asciiTheme="minorHAnsi" w:eastAsia="Arial" w:hAnsiTheme="minorHAnsi" w:cstheme="minorHAnsi"/>
          <w:color w:val="000000"/>
          <w:szCs w:val="24"/>
        </w:rPr>
        <w:t>batterie de</w:t>
      </w:r>
      <w:r>
        <w:rPr>
          <w:rFonts w:asciiTheme="minorHAnsi" w:eastAsia="Arial" w:hAnsiTheme="minorHAnsi" w:cstheme="minorHAnsi"/>
          <w:color w:val="000000"/>
          <w:szCs w:val="24"/>
        </w:rPr>
        <w:t>s</w:t>
      </w:r>
      <w:r w:rsidRPr="00830E83">
        <w:rPr>
          <w:rFonts w:asciiTheme="minorHAnsi" w:eastAsia="Arial" w:hAnsiTheme="minorHAnsi" w:cstheme="minorHAnsi"/>
          <w:color w:val="000000"/>
          <w:szCs w:val="24"/>
        </w:rPr>
        <w:t xml:space="preserve"> questions évaluatives pour chaque critère d’évaluation)</w:t>
      </w:r>
      <w:r>
        <w:rPr>
          <w:rFonts w:asciiTheme="minorHAnsi" w:eastAsia="Arial" w:hAnsiTheme="minorHAnsi" w:cstheme="minorHAnsi"/>
          <w:color w:val="000000"/>
          <w:szCs w:val="24"/>
        </w:rPr>
        <w:t> </w:t>
      </w:r>
      <w:r w:rsidR="00067263">
        <w:rPr>
          <w:rFonts w:asciiTheme="minorHAnsi" w:eastAsia="Arial" w:hAnsiTheme="minorHAnsi" w:cstheme="minorHAnsi"/>
          <w:color w:val="000000"/>
          <w:szCs w:val="24"/>
        </w:rPr>
        <w:t xml:space="preserve"> faisant le lien </w:t>
      </w:r>
      <w:r w:rsidR="00067263" w:rsidRPr="00067263">
        <w:rPr>
          <w:rFonts w:asciiTheme="minorHAnsi" w:eastAsia="Arial" w:hAnsiTheme="minorHAnsi" w:cstheme="minorHAnsi"/>
          <w:color w:val="000000"/>
          <w:szCs w:val="24"/>
        </w:rPr>
        <w:t>avec la liste indicative des indicateurs de résultat pour l’appui budgétaire.</w:t>
      </w:r>
    </w:p>
    <w:p w14:paraId="06181679" w14:textId="77777777" w:rsidR="00B410BB" w:rsidRPr="00AF3400" w:rsidRDefault="00B410BB" w:rsidP="00B410BB">
      <w:pPr>
        <w:pStyle w:val="Sansinterligne"/>
        <w:numPr>
          <w:ilvl w:val="0"/>
          <w:numId w:val="25"/>
        </w:numPr>
        <w:spacing w:line="276" w:lineRule="auto"/>
        <w:jc w:val="both"/>
        <w:rPr>
          <w:rFonts w:asciiTheme="minorHAnsi" w:eastAsia="Arial" w:hAnsiTheme="minorHAnsi" w:cstheme="minorHAnsi"/>
          <w:color w:val="000000"/>
          <w:szCs w:val="24"/>
        </w:rPr>
      </w:pPr>
      <w:r w:rsidRPr="00830E83">
        <w:rPr>
          <w:rFonts w:asciiTheme="minorHAnsi" w:eastAsia="Arial" w:hAnsiTheme="minorHAnsi" w:cstheme="minorHAnsi"/>
          <w:color w:val="000000"/>
          <w:szCs w:val="24"/>
        </w:rPr>
        <w:t xml:space="preserve">listant les interlocuteurs à </w:t>
      </w:r>
      <w:r>
        <w:rPr>
          <w:rFonts w:asciiTheme="minorHAnsi" w:eastAsia="Arial" w:hAnsiTheme="minorHAnsi" w:cstheme="minorHAnsi"/>
          <w:color w:val="000000"/>
          <w:szCs w:val="24"/>
        </w:rPr>
        <w:t>solliciter</w:t>
      </w:r>
      <w:r w:rsidRPr="00830E83">
        <w:rPr>
          <w:rFonts w:asciiTheme="minorHAnsi" w:eastAsia="Arial" w:hAnsiTheme="minorHAnsi" w:cstheme="minorHAnsi"/>
          <w:color w:val="000000"/>
          <w:szCs w:val="24"/>
        </w:rPr>
        <w:t xml:space="preserve"> dans le cadre de l’évaluation</w:t>
      </w:r>
      <w:r>
        <w:rPr>
          <w:rFonts w:asciiTheme="minorHAnsi" w:eastAsia="Arial" w:hAnsiTheme="minorHAnsi" w:cstheme="minorHAnsi"/>
          <w:color w:val="000000"/>
          <w:szCs w:val="24"/>
        </w:rPr>
        <w:t> ;</w:t>
      </w:r>
    </w:p>
    <w:p w14:paraId="6522D8C0" w14:textId="77777777" w:rsidR="00B410BB" w:rsidRPr="00AF3400" w:rsidRDefault="00B410BB" w:rsidP="00AF3400">
      <w:pPr>
        <w:pStyle w:val="Sansinterligne"/>
        <w:numPr>
          <w:ilvl w:val="0"/>
          <w:numId w:val="25"/>
        </w:numPr>
        <w:spacing w:line="276" w:lineRule="auto"/>
        <w:jc w:val="both"/>
        <w:rPr>
          <w:rFonts w:asciiTheme="minorHAnsi" w:eastAsia="Arial" w:hAnsiTheme="minorHAnsi" w:cstheme="minorHAnsi"/>
          <w:color w:val="000000"/>
          <w:szCs w:val="24"/>
        </w:rPr>
      </w:pPr>
      <w:r w:rsidRPr="00830E83">
        <w:rPr>
          <w:rFonts w:asciiTheme="minorHAnsi" w:eastAsia="Arial" w:hAnsiTheme="minorHAnsi" w:cstheme="minorHAnsi"/>
          <w:color w:val="000000"/>
          <w:szCs w:val="24"/>
        </w:rPr>
        <w:t xml:space="preserve">précisant le calendrier de mise en œuvre </w:t>
      </w:r>
      <w:r w:rsidRPr="00AF3400">
        <w:rPr>
          <w:rFonts w:asciiTheme="minorHAnsi" w:eastAsia="Arial" w:hAnsiTheme="minorHAnsi" w:cstheme="minorHAnsi"/>
          <w:color w:val="000000"/>
          <w:szCs w:val="24"/>
        </w:rPr>
        <w:t>de la suite de la mission.</w:t>
      </w:r>
    </w:p>
    <w:p w14:paraId="65EE19EF" w14:textId="36D2AEB2" w:rsidR="00BA0B53" w:rsidRPr="00AF3400" w:rsidRDefault="00BA0B53" w:rsidP="00AF3400">
      <w:pPr>
        <w:pStyle w:val="Sansinterligne"/>
        <w:numPr>
          <w:ilvl w:val="0"/>
          <w:numId w:val="25"/>
        </w:numPr>
        <w:spacing w:line="276" w:lineRule="auto"/>
        <w:jc w:val="both"/>
        <w:rPr>
          <w:rFonts w:asciiTheme="minorHAnsi" w:eastAsia="Arial" w:hAnsiTheme="minorHAnsi" w:cstheme="minorHAnsi"/>
          <w:color w:val="000000"/>
          <w:szCs w:val="24"/>
        </w:rPr>
      </w:pPr>
      <w:r w:rsidRPr="00AF3400">
        <w:rPr>
          <w:rFonts w:asciiTheme="minorHAnsi" w:eastAsia="Arial" w:hAnsiTheme="minorHAnsi" w:cstheme="minorHAnsi"/>
          <w:color w:val="000000"/>
          <w:szCs w:val="24"/>
        </w:rPr>
        <w:t xml:space="preserve">Présentation des outils </w:t>
      </w:r>
      <w:r w:rsidR="00C44AE5">
        <w:rPr>
          <w:rFonts w:asciiTheme="minorHAnsi" w:eastAsia="Arial" w:hAnsiTheme="minorHAnsi" w:cstheme="minorHAnsi"/>
          <w:color w:val="000000"/>
          <w:szCs w:val="24"/>
        </w:rPr>
        <w:t>quantitatifs et qualitatifs proposés</w:t>
      </w:r>
    </w:p>
    <w:p w14:paraId="749DE043" w14:textId="6C461B21" w:rsidR="00B410BB" w:rsidRPr="00A71499" w:rsidRDefault="00A71499" w:rsidP="00A71499">
      <w:pPr>
        <w:pStyle w:val="Default"/>
        <w:spacing w:after="320" w:line="276" w:lineRule="auto"/>
        <w:jc w:val="both"/>
        <w:rPr>
          <w:rFonts w:asciiTheme="minorHAnsi" w:hAnsiTheme="minorHAnsi" w:cstheme="minorHAnsi"/>
          <w:i/>
        </w:rPr>
      </w:pPr>
      <w:r w:rsidRPr="00A71499">
        <w:rPr>
          <w:rFonts w:asciiTheme="minorHAnsi" w:hAnsiTheme="minorHAnsi" w:cstheme="minorHAnsi"/>
          <w:i/>
        </w:rPr>
        <w:t>Nombre de jours indicatif : 5 jours</w:t>
      </w:r>
    </w:p>
    <w:p w14:paraId="67B1532A" w14:textId="6D6D5E9C" w:rsidR="00B410BB" w:rsidRPr="00830E83" w:rsidRDefault="00B410BB" w:rsidP="00067263">
      <w:pPr>
        <w:pStyle w:val="Default"/>
        <w:numPr>
          <w:ilvl w:val="0"/>
          <w:numId w:val="29"/>
        </w:numPr>
        <w:spacing w:after="120" w:line="276" w:lineRule="auto"/>
        <w:jc w:val="both"/>
        <w:rPr>
          <w:rFonts w:asciiTheme="minorHAnsi" w:hAnsiTheme="minorHAnsi" w:cstheme="minorHAnsi"/>
          <w:b/>
        </w:rPr>
      </w:pPr>
      <w:r w:rsidRPr="00830E83">
        <w:rPr>
          <w:rFonts w:asciiTheme="minorHAnsi" w:hAnsiTheme="minorHAnsi" w:cstheme="minorHAnsi"/>
          <w:b/>
        </w:rPr>
        <w:t xml:space="preserve">Etape 2 : réalisation de </w:t>
      </w:r>
      <w:r w:rsidRPr="00067263">
        <w:rPr>
          <w:rFonts w:asciiTheme="minorHAnsi" w:hAnsiTheme="minorHAnsi" w:cstheme="minorHAnsi"/>
          <w:b/>
        </w:rPr>
        <w:t>l’évaluation et partage des conclusions / recommandations (</w:t>
      </w:r>
      <w:r w:rsidR="00677918" w:rsidRPr="00067263">
        <w:rPr>
          <w:rFonts w:asciiTheme="minorHAnsi" w:hAnsiTheme="minorHAnsi" w:cstheme="minorHAnsi"/>
          <w:b/>
        </w:rPr>
        <w:t>en Haïti</w:t>
      </w:r>
      <w:r w:rsidR="00A024BB" w:rsidRPr="00067263">
        <w:rPr>
          <w:rFonts w:asciiTheme="minorHAnsi" w:hAnsiTheme="minorHAnsi" w:cstheme="minorHAnsi"/>
          <w:b/>
        </w:rPr>
        <w:t xml:space="preserve"> – </w:t>
      </w:r>
      <w:r w:rsidR="003E79DA">
        <w:rPr>
          <w:rFonts w:asciiTheme="minorHAnsi" w:hAnsiTheme="minorHAnsi" w:cstheme="minorHAnsi"/>
          <w:b/>
        </w:rPr>
        <w:t xml:space="preserve">début octobre </w:t>
      </w:r>
      <w:r w:rsidR="00A024BB" w:rsidRPr="00067263">
        <w:rPr>
          <w:rFonts w:asciiTheme="minorHAnsi" w:hAnsiTheme="minorHAnsi" w:cstheme="minorHAnsi"/>
          <w:b/>
        </w:rPr>
        <w:t xml:space="preserve"> 2021)</w:t>
      </w:r>
    </w:p>
    <w:p w14:paraId="18D05098" w14:textId="2E2FA492" w:rsidR="00B410BB" w:rsidRDefault="00B410BB" w:rsidP="00B410BB">
      <w:pPr>
        <w:pStyle w:val="Default"/>
        <w:spacing w:after="60" w:line="276" w:lineRule="auto"/>
        <w:jc w:val="both"/>
        <w:rPr>
          <w:rFonts w:asciiTheme="minorHAnsi" w:hAnsiTheme="minorHAnsi" w:cstheme="minorHAnsi"/>
        </w:rPr>
      </w:pPr>
      <w:r w:rsidRPr="00830E83">
        <w:rPr>
          <w:rFonts w:asciiTheme="minorHAnsi" w:hAnsiTheme="minorHAnsi" w:cstheme="minorHAnsi"/>
        </w:rPr>
        <w:t>L’</w:t>
      </w:r>
      <w:r w:rsidR="00677918">
        <w:rPr>
          <w:rFonts w:asciiTheme="minorHAnsi" w:hAnsiTheme="minorHAnsi" w:cstheme="minorHAnsi"/>
        </w:rPr>
        <w:t>équipe d’évaluation se rendra en Haïti</w:t>
      </w:r>
      <w:r w:rsidRPr="00830E83">
        <w:rPr>
          <w:rFonts w:asciiTheme="minorHAnsi" w:hAnsiTheme="minorHAnsi" w:cstheme="minorHAnsi"/>
        </w:rPr>
        <w:t xml:space="preserve"> pour conduire des entretiens individuels ou collectifs approfondis avec l’ensemble des parties prenantes </w:t>
      </w:r>
      <w:r w:rsidR="00677918">
        <w:rPr>
          <w:rFonts w:asciiTheme="minorHAnsi" w:hAnsiTheme="minorHAnsi" w:cstheme="minorHAnsi"/>
        </w:rPr>
        <w:t xml:space="preserve">du SBC-2 </w:t>
      </w:r>
      <w:r w:rsidRPr="00830E83">
        <w:rPr>
          <w:rFonts w:asciiTheme="minorHAnsi" w:hAnsiTheme="minorHAnsi" w:cstheme="minorHAnsi"/>
        </w:rPr>
        <w:t xml:space="preserve">et </w:t>
      </w:r>
      <w:r>
        <w:rPr>
          <w:rFonts w:asciiTheme="minorHAnsi" w:hAnsiTheme="minorHAnsi" w:cstheme="minorHAnsi"/>
        </w:rPr>
        <w:t>exerçant</w:t>
      </w:r>
      <w:r w:rsidR="00677918">
        <w:rPr>
          <w:rFonts w:asciiTheme="minorHAnsi" w:hAnsiTheme="minorHAnsi" w:cstheme="minorHAnsi"/>
        </w:rPr>
        <w:t xml:space="preserve"> en Haïti</w:t>
      </w:r>
      <w:r w:rsidRPr="00830E83">
        <w:rPr>
          <w:rFonts w:asciiTheme="minorHAnsi" w:hAnsiTheme="minorHAnsi" w:cstheme="minorHAnsi"/>
        </w:rPr>
        <w:t> :</w:t>
      </w:r>
    </w:p>
    <w:p w14:paraId="0AB0A4FF" w14:textId="30D1D648" w:rsidR="00B410BB" w:rsidRDefault="00B410BB" w:rsidP="00B410BB">
      <w:pPr>
        <w:pStyle w:val="Default"/>
        <w:numPr>
          <w:ilvl w:val="0"/>
          <w:numId w:val="22"/>
        </w:numPr>
        <w:spacing w:after="60"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</w:t>
      </w:r>
      <w:r w:rsidRPr="00830E83">
        <w:rPr>
          <w:rFonts w:asciiTheme="minorHAnsi" w:hAnsiTheme="minorHAnsi" w:cstheme="minorHAnsi"/>
        </w:rPr>
        <w:t>a direc</w:t>
      </w:r>
      <w:r>
        <w:rPr>
          <w:rFonts w:asciiTheme="minorHAnsi" w:hAnsiTheme="minorHAnsi" w:cstheme="minorHAnsi"/>
        </w:rPr>
        <w:t xml:space="preserve">tion </w:t>
      </w:r>
      <w:r w:rsidR="00677918">
        <w:rPr>
          <w:rFonts w:asciiTheme="minorHAnsi" w:hAnsiTheme="minorHAnsi" w:cstheme="minorHAnsi"/>
        </w:rPr>
        <w:t xml:space="preserve">Générale </w:t>
      </w:r>
      <w:r>
        <w:rPr>
          <w:rFonts w:asciiTheme="minorHAnsi" w:hAnsiTheme="minorHAnsi" w:cstheme="minorHAnsi"/>
        </w:rPr>
        <w:t>des Impôts ;</w:t>
      </w:r>
    </w:p>
    <w:p w14:paraId="35B692F2" w14:textId="3E579865" w:rsidR="00B410BB" w:rsidRDefault="00B410BB" w:rsidP="00B410BB">
      <w:pPr>
        <w:pStyle w:val="Default"/>
        <w:numPr>
          <w:ilvl w:val="0"/>
          <w:numId w:val="22"/>
        </w:numPr>
        <w:spacing w:after="6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830E83">
        <w:rPr>
          <w:rFonts w:asciiTheme="minorHAnsi" w:hAnsiTheme="minorHAnsi" w:cstheme="minorHAnsi"/>
        </w:rPr>
        <w:t>les équipes perti</w:t>
      </w:r>
      <w:r>
        <w:rPr>
          <w:rFonts w:asciiTheme="minorHAnsi" w:hAnsiTheme="minorHAnsi" w:cstheme="minorHAnsi"/>
        </w:rPr>
        <w:t>nentes du Ministère d</w:t>
      </w:r>
      <w:r w:rsidR="00677918">
        <w:rPr>
          <w:rFonts w:asciiTheme="minorHAnsi" w:hAnsiTheme="minorHAnsi" w:cstheme="minorHAnsi"/>
        </w:rPr>
        <w:t>e l’Economie et des Finances</w:t>
      </w:r>
      <w:r>
        <w:rPr>
          <w:rFonts w:asciiTheme="minorHAnsi" w:hAnsiTheme="minorHAnsi" w:cstheme="minorHAnsi"/>
        </w:rPr>
        <w:t>;</w:t>
      </w:r>
    </w:p>
    <w:p w14:paraId="38300C41" w14:textId="03216C61" w:rsidR="00B410BB" w:rsidRDefault="00677918" w:rsidP="00B410BB">
      <w:pPr>
        <w:pStyle w:val="Default"/>
        <w:numPr>
          <w:ilvl w:val="0"/>
          <w:numId w:val="22"/>
        </w:numPr>
        <w:spacing w:after="60"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 MICT</w:t>
      </w:r>
      <w:r w:rsidR="00B410BB">
        <w:rPr>
          <w:rFonts w:asciiTheme="minorHAnsi" w:hAnsiTheme="minorHAnsi" w:cstheme="minorHAnsi"/>
        </w:rPr>
        <w:t>;</w:t>
      </w:r>
    </w:p>
    <w:p w14:paraId="2652F840" w14:textId="3627F25A" w:rsidR="00B410BB" w:rsidRPr="00830E83" w:rsidRDefault="00677918" w:rsidP="00B410BB">
      <w:pPr>
        <w:pStyle w:val="Default"/>
        <w:numPr>
          <w:ilvl w:val="0"/>
          <w:numId w:val="22"/>
        </w:numPr>
        <w:spacing w:after="60"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 Ministère de l’Education</w:t>
      </w:r>
      <w:r w:rsidR="00B410BB">
        <w:rPr>
          <w:rFonts w:asciiTheme="minorHAnsi" w:hAnsiTheme="minorHAnsi" w:cstheme="minorHAnsi"/>
        </w:rPr>
        <w:t>;</w:t>
      </w:r>
    </w:p>
    <w:p w14:paraId="580A7289" w14:textId="2751927A" w:rsidR="00B410BB" w:rsidRPr="00830E83" w:rsidRDefault="00B410BB" w:rsidP="00B410BB">
      <w:pPr>
        <w:pStyle w:val="Default"/>
        <w:numPr>
          <w:ilvl w:val="0"/>
          <w:numId w:val="22"/>
        </w:numPr>
        <w:spacing w:after="60"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</w:t>
      </w:r>
      <w:r w:rsidRPr="00830E83">
        <w:rPr>
          <w:rFonts w:asciiTheme="minorHAnsi" w:hAnsiTheme="minorHAnsi" w:cstheme="minorHAnsi"/>
        </w:rPr>
        <w:t xml:space="preserve">’équipe projet basée à </w:t>
      </w:r>
      <w:r w:rsidR="00677918">
        <w:rPr>
          <w:rFonts w:asciiTheme="minorHAnsi" w:hAnsiTheme="minorHAnsi" w:cstheme="minorHAnsi"/>
        </w:rPr>
        <w:t>Port au Prince</w:t>
      </w:r>
      <w:r w:rsidRPr="00830E83">
        <w:rPr>
          <w:rFonts w:asciiTheme="minorHAnsi" w:hAnsiTheme="minorHAnsi" w:cstheme="minorHAnsi"/>
        </w:rPr>
        <w:t xml:space="preserve"> et composée d</w:t>
      </w:r>
      <w:r w:rsidR="00677918">
        <w:rPr>
          <w:rFonts w:asciiTheme="minorHAnsi" w:hAnsiTheme="minorHAnsi" w:cstheme="minorHAnsi"/>
        </w:rPr>
        <w:t>e la coordinatrice</w:t>
      </w:r>
      <w:r w:rsidRPr="00830E83">
        <w:rPr>
          <w:rFonts w:asciiTheme="minorHAnsi" w:hAnsiTheme="minorHAnsi" w:cstheme="minorHAnsi"/>
        </w:rPr>
        <w:t xml:space="preserve"> et </w:t>
      </w:r>
      <w:r w:rsidR="0015124D" w:rsidRPr="00830E83">
        <w:rPr>
          <w:rFonts w:asciiTheme="minorHAnsi" w:hAnsiTheme="minorHAnsi" w:cstheme="minorHAnsi"/>
        </w:rPr>
        <w:t xml:space="preserve">des experts </w:t>
      </w:r>
      <w:r w:rsidR="0015124D">
        <w:rPr>
          <w:rFonts w:asciiTheme="minorHAnsi" w:hAnsiTheme="minorHAnsi" w:cstheme="minorHAnsi"/>
        </w:rPr>
        <w:t>longs termes (3)</w:t>
      </w:r>
      <w:r w:rsidRPr="00830E83">
        <w:rPr>
          <w:rFonts w:asciiTheme="minorHAnsi" w:hAnsiTheme="minorHAnsi" w:cstheme="minorHAnsi"/>
        </w:rPr>
        <w:t xml:space="preserve"> </w:t>
      </w:r>
    </w:p>
    <w:p w14:paraId="23D8CFF5" w14:textId="222B8309" w:rsidR="00B410BB" w:rsidRDefault="004F4BFC" w:rsidP="00B410BB">
      <w:pPr>
        <w:pStyle w:val="Default"/>
        <w:numPr>
          <w:ilvl w:val="0"/>
          <w:numId w:val="22"/>
        </w:numPr>
        <w:spacing w:after="60"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</w:t>
      </w:r>
      <w:r w:rsidR="00B410BB" w:rsidRPr="00830E83">
        <w:rPr>
          <w:rFonts w:asciiTheme="minorHAnsi" w:hAnsiTheme="minorHAnsi" w:cstheme="minorHAnsi"/>
        </w:rPr>
        <w:t xml:space="preserve"> délégation de l’Union européenne </w:t>
      </w:r>
      <w:r w:rsidR="0015124D">
        <w:rPr>
          <w:rFonts w:asciiTheme="minorHAnsi" w:hAnsiTheme="minorHAnsi" w:cstheme="minorHAnsi"/>
        </w:rPr>
        <w:t>à Port au Prince</w:t>
      </w:r>
      <w:r w:rsidR="00B410BB">
        <w:rPr>
          <w:rFonts w:asciiTheme="minorHAnsi" w:hAnsiTheme="minorHAnsi" w:cstheme="minorHAnsi"/>
        </w:rPr>
        <w:t> ;</w:t>
      </w:r>
    </w:p>
    <w:p w14:paraId="572C3FC4" w14:textId="3F315A64" w:rsidR="00AE5982" w:rsidRDefault="00AE5982" w:rsidP="00B410BB">
      <w:pPr>
        <w:pStyle w:val="Default"/>
        <w:numPr>
          <w:ilvl w:val="0"/>
          <w:numId w:val="22"/>
        </w:numPr>
        <w:spacing w:after="60"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Autres bailleurs et agences de mise en œuvre de programme de coopération en Haïti, </w:t>
      </w:r>
      <w:r>
        <w:rPr>
          <w:rFonts w:asciiTheme="minorHAnsi" w:hAnsiTheme="minorHAnsi" w:cstheme="minorHAnsi"/>
        </w:rPr>
        <w:lastRenderedPageBreak/>
        <w:t>en particulier ceux actifs dans les domaines couverts par le SBC II</w:t>
      </w:r>
    </w:p>
    <w:p w14:paraId="7AB69403" w14:textId="77777777" w:rsidR="00B410BB" w:rsidRPr="00830E83" w:rsidRDefault="00B410BB" w:rsidP="00B410BB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830E83">
        <w:rPr>
          <w:rFonts w:asciiTheme="minorHAnsi" w:hAnsiTheme="minorHAnsi" w:cstheme="minorHAnsi"/>
        </w:rPr>
        <w:t xml:space="preserve">D’autres acteurs moins </w:t>
      </w:r>
      <w:r>
        <w:rPr>
          <w:rFonts w:asciiTheme="minorHAnsi" w:hAnsiTheme="minorHAnsi" w:cstheme="minorHAnsi"/>
        </w:rPr>
        <w:t xml:space="preserve">directement </w:t>
      </w:r>
      <w:r w:rsidRPr="00830E83">
        <w:rPr>
          <w:rFonts w:asciiTheme="minorHAnsi" w:hAnsiTheme="minorHAnsi" w:cstheme="minorHAnsi"/>
        </w:rPr>
        <w:t xml:space="preserve">impliqués dans le projet pourront également être associés à ces échanges avec les évaluateurs. </w:t>
      </w:r>
      <w:r>
        <w:rPr>
          <w:rFonts w:asciiTheme="minorHAnsi" w:hAnsiTheme="minorHAnsi" w:cstheme="minorHAnsi"/>
        </w:rPr>
        <w:t xml:space="preserve"> </w:t>
      </w:r>
    </w:p>
    <w:p w14:paraId="49594168" w14:textId="27CE0F22" w:rsidR="00B410BB" w:rsidRPr="00830E83" w:rsidRDefault="00B410BB" w:rsidP="00B410BB">
      <w:pPr>
        <w:pStyle w:val="Default"/>
        <w:spacing w:after="120" w:line="276" w:lineRule="auto"/>
        <w:jc w:val="both"/>
        <w:rPr>
          <w:rFonts w:asciiTheme="minorHAnsi" w:hAnsiTheme="minorHAnsi" w:cstheme="minorHAnsi"/>
        </w:rPr>
      </w:pPr>
      <w:r w:rsidRPr="00830E83">
        <w:rPr>
          <w:rFonts w:asciiTheme="minorHAnsi" w:hAnsiTheme="minorHAnsi" w:cstheme="minorHAnsi"/>
        </w:rPr>
        <w:t xml:space="preserve">Depuis </w:t>
      </w:r>
      <w:r w:rsidR="0015124D">
        <w:rPr>
          <w:rFonts w:asciiTheme="minorHAnsi" w:hAnsiTheme="minorHAnsi" w:cstheme="minorHAnsi"/>
        </w:rPr>
        <w:t>Port au Prince</w:t>
      </w:r>
      <w:r w:rsidRPr="00830E83">
        <w:rPr>
          <w:rFonts w:asciiTheme="minorHAnsi" w:hAnsiTheme="minorHAnsi" w:cstheme="minorHAnsi"/>
        </w:rPr>
        <w:t xml:space="preserve">, l’équipe d’évaluation </w:t>
      </w:r>
      <w:r w:rsidR="0015124D">
        <w:rPr>
          <w:rFonts w:asciiTheme="minorHAnsi" w:hAnsiTheme="minorHAnsi" w:cstheme="minorHAnsi"/>
        </w:rPr>
        <w:t>pourra également</w:t>
      </w:r>
      <w:r w:rsidRPr="00830E83">
        <w:rPr>
          <w:rFonts w:asciiTheme="minorHAnsi" w:hAnsiTheme="minorHAnsi" w:cstheme="minorHAnsi"/>
        </w:rPr>
        <w:t xml:space="preserve"> s’entretenir à distance avec </w:t>
      </w:r>
      <w:r w:rsidR="002B5301">
        <w:rPr>
          <w:rFonts w:asciiTheme="minorHAnsi" w:hAnsiTheme="minorHAnsi" w:cstheme="minorHAnsi"/>
        </w:rPr>
        <w:t>les experts courts termes</w:t>
      </w:r>
      <w:r w:rsidRPr="00830E83">
        <w:rPr>
          <w:rFonts w:asciiTheme="minorHAnsi" w:hAnsiTheme="minorHAnsi" w:cstheme="minorHAnsi"/>
        </w:rPr>
        <w:t xml:space="preserve"> ayant réalisé des missions pour le compte du projet. Par ailleurs, des échanges réguliers interviendront à distance entre les évaluateurs et l’équipe projet au Siège d’Expertise France. </w:t>
      </w:r>
      <w:r w:rsidR="0015124D">
        <w:rPr>
          <w:rFonts w:asciiTheme="minorHAnsi" w:hAnsiTheme="minorHAnsi" w:cstheme="minorHAnsi"/>
        </w:rPr>
        <w:t>A noter, une visite de la chargée de projet du siège aurait lieu au moment de la tenue de l’évaluation.</w:t>
      </w:r>
    </w:p>
    <w:p w14:paraId="002F189D" w14:textId="6EC7FA58" w:rsidR="00B410BB" w:rsidRPr="00830E83" w:rsidRDefault="00B410BB" w:rsidP="00B410BB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 séjour</w:t>
      </w:r>
      <w:r w:rsidRPr="00830E83">
        <w:rPr>
          <w:rFonts w:asciiTheme="minorHAnsi" w:hAnsiTheme="minorHAnsi" w:cstheme="minorHAnsi"/>
        </w:rPr>
        <w:t xml:space="preserve"> en </w:t>
      </w:r>
      <w:r w:rsidR="002B5301">
        <w:rPr>
          <w:rFonts w:asciiTheme="minorHAnsi" w:hAnsiTheme="minorHAnsi" w:cstheme="minorHAnsi"/>
        </w:rPr>
        <w:t>Haïti</w:t>
      </w:r>
      <w:r w:rsidR="002B5301" w:rsidRPr="002B5301">
        <w:rPr>
          <w:rFonts w:asciiTheme="minorHAnsi" w:hAnsiTheme="minorHAnsi" w:cstheme="minorHAnsi"/>
        </w:rPr>
        <w:t xml:space="preserve"> </w:t>
      </w:r>
      <w:r w:rsidR="002B5301" w:rsidRPr="00830E83">
        <w:rPr>
          <w:rFonts w:asciiTheme="minorHAnsi" w:hAnsiTheme="minorHAnsi" w:cstheme="minorHAnsi"/>
        </w:rPr>
        <w:t>de l’équipe d’évaluation</w:t>
      </w:r>
      <w:r w:rsidR="002B5301">
        <w:rPr>
          <w:rFonts w:asciiTheme="minorHAnsi" w:hAnsiTheme="minorHAnsi" w:cstheme="minorHAnsi"/>
        </w:rPr>
        <w:t xml:space="preserve">, en proximité avec les équipes projet, </w:t>
      </w:r>
      <w:r w:rsidRPr="00830E83">
        <w:rPr>
          <w:rFonts w:asciiTheme="minorHAnsi" w:hAnsiTheme="minorHAnsi" w:cstheme="minorHAnsi"/>
        </w:rPr>
        <w:t xml:space="preserve"> permettra à celle-ci de collecter des documents complémentaires auprès des interlocuteurs rencontrés. Ces documents, recueillis et analysés au fil de l’eau, viendront enrichir la réflexion des évaluateurs.</w:t>
      </w:r>
    </w:p>
    <w:p w14:paraId="28BA0739" w14:textId="3A7A9DFD" w:rsidR="00B410BB" w:rsidRPr="00830E83" w:rsidRDefault="00B410BB" w:rsidP="00B410BB">
      <w:pPr>
        <w:pStyle w:val="Default"/>
        <w:spacing w:after="60" w:line="276" w:lineRule="auto"/>
        <w:jc w:val="both"/>
        <w:rPr>
          <w:rFonts w:asciiTheme="minorHAnsi" w:hAnsiTheme="minorHAnsi" w:cstheme="minorHAnsi"/>
        </w:rPr>
      </w:pPr>
      <w:r w:rsidRPr="00830E83">
        <w:rPr>
          <w:rFonts w:asciiTheme="minorHAnsi" w:hAnsiTheme="minorHAnsi" w:cstheme="minorHAnsi"/>
        </w:rPr>
        <w:t xml:space="preserve">Elle procèdera </w:t>
      </w:r>
      <w:r>
        <w:rPr>
          <w:rFonts w:asciiTheme="minorHAnsi" w:hAnsiTheme="minorHAnsi" w:cstheme="minorHAnsi"/>
        </w:rPr>
        <w:t>en parallèle</w:t>
      </w:r>
      <w:r w:rsidRPr="00830E83">
        <w:rPr>
          <w:rFonts w:asciiTheme="minorHAnsi" w:hAnsiTheme="minorHAnsi" w:cstheme="minorHAnsi"/>
        </w:rPr>
        <w:t xml:space="preserve"> à l’évaluation approfondie et argumentée du projet, sur la base </w:t>
      </w:r>
      <w:r w:rsidR="00C44AE5">
        <w:rPr>
          <w:rFonts w:asciiTheme="minorHAnsi" w:hAnsiTheme="minorHAnsi" w:cstheme="minorHAnsi"/>
        </w:rPr>
        <w:t xml:space="preserve">des </w:t>
      </w:r>
      <w:r w:rsidRPr="00830E83">
        <w:rPr>
          <w:rFonts w:asciiTheme="minorHAnsi" w:hAnsiTheme="minorHAnsi" w:cstheme="minorHAnsi"/>
        </w:rPr>
        <w:t xml:space="preserve">critères fixés par les présents TDR et des questions évaluatives </w:t>
      </w:r>
      <w:r>
        <w:rPr>
          <w:rFonts w:asciiTheme="minorHAnsi" w:hAnsiTheme="minorHAnsi" w:cstheme="minorHAnsi"/>
        </w:rPr>
        <w:t>arrêtées</w:t>
      </w:r>
      <w:r w:rsidRPr="00830E83">
        <w:rPr>
          <w:rFonts w:asciiTheme="minorHAnsi" w:hAnsiTheme="minorHAnsi" w:cstheme="minorHAnsi"/>
        </w:rPr>
        <w:t xml:space="preserve"> pour chacun de ces critères à l’étape 1 de la mission :</w:t>
      </w:r>
    </w:p>
    <w:p w14:paraId="7DFAA43D" w14:textId="77777777" w:rsidR="00B410BB" w:rsidRDefault="00B410BB" w:rsidP="00B410BB">
      <w:pPr>
        <w:pStyle w:val="Paragraphedeliste"/>
        <w:widowControl w:val="0"/>
        <w:numPr>
          <w:ilvl w:val="0"/>
          <w:numId w:val="23"/>
        </w:numPr>
        <w:suppressAutoHyphens/>
        <w:autoSpaceDN w:val="0"/>
        <w:spacing w:after="60" w:line="240" w:lineRule="auto"/>
        <w:ind w:left="714" w:hanging="357"/>
        <w:contextualSpacing w:val="0"/>
        <w:jc w:val="both"/>
        <w:textAlignment w:val="baseline"/>
        <w:rPr>
          <w:rFonts w:eastAsia="Arial" w:cstheme="minorHAnsi"/>
          <w:color w:val="000000"/>
        </w:rPr>
      </w:pPr>
      <w:r w:rsidRPr="00830E83">
        <w:rPr>
          <w:rFonts w:eastAsia="Arial" w:cstheme="minorHAnsi"/>
          <w:color w:val="000000"/>
          <w:sz w:val="24"/>
          <w:szCs w:val="24"/>
        </w:rPr>
        <w:t>l’effectivité, pour évaluer la réalité de la mise en œuvre des appuis et de la démarche prévus par le projet ;</w:t>
      </w:r>
    </w:p>
    <w:p w14:paraId="137BB36C" w14:textId="77777777" w:rsidR="00B410BB" w:rsidRDefault="00B410BB" w:rsidP="00B410BB">
      <w:pPr>
        <w:pStyle w:val="Paragraphedeliste"/>
        <w:widowControl w:val="0"/>
        <w:numPr>
          <w:ilvl w:val="0"/>
          <w:numId w:val="23"/>
        </w:numPr>
        <w:suppressAutoHyphens/>
        <w:autoSpaceDN w:val="0"/>
        <w:spacing w:after="60" w:line="240" w:lineRule="auto"/>
        <w:ind w:left="714" w:hanging="357"/>
        <w:contextualSpacing w:val="0"/>
        <w:jc w:val="both"/>
        <w:textAlignment w:val="baseline"/>
        <w:rPr>
          <w:rFonts w:cstheme="minorHAnsi"/>
        </w:rPr>
      </w:pPr>
      <w:r w:rsidRPr="00830E83">
        <w:rPr>
          <w:rFonts w:eastAsia="Arial" w:cstheme="minorHAnsi"/>
          <w:color w:val="000000"/>
          <w:sz w:val="24"/>
          <w:szCs w:val="24"/>
        </w:rPr>
        <w:t>l’efficacité, pour évaluer les résultats d’étape obtenus par rapport aux résultats attendus du projet, initiaux ou actualisés en cours de route ;</w:t>
      </w:r>
    </w:p>
    <w:p w14:paraId="0B9EE212" w14:textId="77777777" w:rsidR="00B410BB" w:rsidRPr="00830E83" w:rsidRDefault="00B410BB" w:rsidP="00B410BB">
      <w:pPr>
        <w:pStyle w:val="Paragraphedeliste"/>
        <w:widowControl w:val="0"/>
        <w:numPr>
          <w:ilvl w:val="0"/>
          <w:numId w:val="23"/>
        </w:numPr>
        <w:suppressAutoHyphens/>
        <w:autoSpaceDN w:val="0"/>
        <w:spacing w:line="276" w:lineRule="auto"/>
        <w:ind w:left="714" w:hanging="357"/>
        <w:contextualSpacing w:val="0"/>
        <w:jc w:val="both"/>
        <w:textAlignment w:val="baseline"/>
        <w:rPr>
          <w:rFonts w:eastAsia="SimSun" w:cstheme="minorHAnsi"/>
          <w:sz w:val="24"/>
          <w:szCs w:val="24"/>
        </w:rPr>
      </w:pPr>
      <w:r w:rsidRPr="00830E83">
        <w:rPr>
          <w:rFonts w:eastAsia="Arial" w:cstheme="minorHAnsi"/>
          <w:color w:val="000000"/>
          <w:sz w:val="24"/>
          <w:szCs w:val="24"/>
        </w:rPr>
        <w:t>l’efficience, pour évaluer les réalisations et résultats d’étape du projet par rapport aux ressources consommées (budget et délais de mise en œuvre).</w:t>
      </w:r>
    </w:p>
    <w:p w14:paraId="695389FA" w14:textId="77777777" w:rsidR="00B410BB" w:rsidRPr="00830E83" w:rsidRDefault="00B410BB" w:rsidP="00B410BB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Cette seconde étape</w:t>
      </w:r>
      <w:r w:rsidRPr="00830E83">
        <w:rPr>
          <w:rFonts w:asciiTheme="minorHAnsi" w:hAnsiTheme="minorHAnsi" w:cstheme="minorHAnsi"/>
        </w:rPr>
        <w:t xml:space="preserve"> se conclura par une restitution des travaux, conclusions et recommandations devant les principaux acteurs du projet (bénéficiaires, opérateur et bailleur) et </w:t>
      </w:r>
      <w:r>
        <w:rPr>
          <w:rFonts w:asciiTheme="minorHAnsi" w:hAnsiTheme="minorHAnsi" w:cstheme="minorHAnsi"/>
        </w:rPr>
        <w:t xml:space="preserve">par </w:t>
      </w:r>
      <w:r w:rsidRPr="00830E83">
        <w:rPr>
          <w:rFonts w:asciiTheme="minorHAnsi" w:hAnsiTheme="minorHAnsi" w:cstheme="minorHAnsi"/>
        </w:rPr>
        <w:t xml:space="preserve">un échange avec ceux-ci. </w:t>
      </w:r>
    </w:p>
    <w:p w14:paraId="44E139ED" w14:textId="77777777" w:rsidR="00B410BB" w:rsidRPr="00830E83" w:rsidRDefault="00B410BB" w:rsidP="00B410BB">
      <w:pPr>
        <w:pStyle w:val="Default"/>
        <w:spacing w:after="60" w:line="276" w:lineRule="auto"/>
        <w:jc w:val="both"/>
        <w:rPr>
          <w:rFonts w:asciiTheme="minorHAnsi" w:hAnsiTheme="minorHAnsi" w:cstheme="minorHAnsi"/>
        </w:rPr>
      </w:pPr>
      <w:r w:rsidRPr="00830E83">
        <w:rPr>
          <w:rFonts w:asciiTheme="minorHAnsi" w:hAnsiTheme="minorHAnsi" w:cstheme="minorHAnsi"/>
        </w:rPr>
        <w:t xml:space="preserve">Le livrable sera </w:t>
      </w:r>
      <w:r>
        <w:rPr>
          <w:rFonts w:asciiTheme="minorHAnsi" w:hAnsiTheme="minorHAnsi" w:cstheme="minorHAnsi"/>
        </w:rPr>
        <w:t>un</w:t>
      </w:r>
      <w:r w:rsidRPr="00830E83">
        <w:rPr>
          <w:rFonts w:asciiTheme="minorHAnsi" w:hAnsiTheme="minorHAnsi" w:cstheme="minorHAnsi"/>
        </w:rPr>
        <w:t xml:space="preserve"> rapport préliminaire d’évaluation </w:t>
      </w:r>
      <w:r>
        <w:rPr>
          <w:rFonts w:asciiTheme="minorHAnsi" w:hAnsiTheme="minorHAnsi" w:cstheme="minorHAnsi"/>
        </w:rPr>
        <w:t xml:space="preserve">(40 pages maximum, hors annexes) </w:t>
      </w:r>
      <w:r w:rsidRPr="00830E83">
        <w:rPr>
          <w:rFonts w:asciiTheme="minorHAnsi" w:hAnsiTheme="minorHAnsi" w:cstheme="minorHAnsi"/>
        </w:rPr>
        <w:t>comprenant :</w:t>
      </w:r>
    </w:p>
    <w:p w14:paraId="0F78077A" w14:textId="77777777" w:rsidR="00B410BB" w:rsidRDefault="00B410BB" w:rsidP="00B410BB">
      <w:pPr>
        <w:pStyle w:val="Default"/>
        <w:numPr>
          <w:ilvl w:val="0"/>
          <w:numId w:val="24"/>
        </w:numPr>
        <w:spacing w:after="60"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un rapide rappel des TDR de la mission (1 page) ;</w:t>
      </w:r>
    </w:p>
    <w:p w14:paraId="0AC386A6" w14:textId="77777777" w:rsidR="00B410BB" w:rsidRDefault="00B410BB" w:rsidP="00B410BB">
      <w:pPr>
        <w:pStyle w:val="Default"/>
        <w:numPr>
          <w:ilvl w:val="0"/>
          <w:numId w:val="24"/>
        </w:numPr>
        <w:spacing w:after="60"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une synthèse des travaux réalisés par l’équipe (1 page) ;</w:t>
      </w:r>
    </w:p>
    <w:p w14:paraId="0A11520B" w14:textId="77777777" w:rsidR="00B410BB" w:rsidRDefault="00B410BB" w:rsidP="00B410BB">
      <w:pPr>
        <w:pStyle w:val="Default"/>
        <w:numPr>
          <w:ilvl w:val="0"/>
          <w:numId w:val="24"/>
        </w:numPr>
        <w:spacing w:after="60"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un résumé exécutif du rapport (2 pages) ;</w:t>
      </w:r>
    </w:p>
    <w:p w14:paraId="55852B43" w14:textId="77777777" w:rsidR="00B410BB" w:rsidRDefault="00B410BB" w:rsidP="00B410BB">
      <w:pPr>
        <w:pStyle w:val="Default"/>
        <w:numPr>
          <w:ilvl w:val="0"/>
          <w:numId w:val="24"/>
        </w:numPr>
        <w:spacing w:after="60"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 récit chronologique factuel et détaillé du projet ;</w:t>
      </w:r>
    </w:p>
    <w:p w14:paraId="70D99D2D" w14:textId="77777777" w:rsidR="00B410BB" w:rsidRDefault="00B410BB" w:rsidP="00B410BB">
      <w:pPr>
        <w:pStyle w:val="Default"/>
        <w:numPr>
          <w:ilvl w:val="0"/>
          <w:numId w:val="24"/>
        </w:numPr>
        <w:spacing w:after="60"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les réponses aux questions évaluatives, par critère d’évaluation ;</w:t>
      </w:r>
    </w:p>
    <w:p w14:paraId="676FC081" w14:textId="4DD0B419" w:rsidR="00B410BB" w:rsidRDefault="00B410BB" w:rsidP="00B410BB">
      <w:pPr>
        <w:pStyle w:val="Default"/>
        <w:numPr>
          <w:ilvl w:val="0"/>
          <w:numId w:val="24"/>
        </w:numPr>
        <w:spacing w:after="60"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une synthèse des forces et faiblesses du projet</w:t>
      </w:r>
      <w:r w:rsidR="000B4267">
        <w:rPr>
          <w:rFonts w:asciiTheme="minorHAnsi" w:hAnsiTheme="minorHAnsi" w:cstheme="minorHAnsi"/>
        </w:rPr>
        <w:t> ;</w:t>
      </w:r>
    </w:p>
    <w:p w14:paraId="45390A20" w14:textId="059244A9" w:rsidR="00B410BB" w:rsidRDefault="00B410BB" w:rsidP="00B410BB">
      <w:pPr>
        <w:pStyle w:val="Default"/>
        <w:numPr>
          <w:ilvl w:val="0"/>
          <w:numId w:val="24"/>
        </w:numPr>
        <w:spacing w:after="160"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les enseignements à en tirer et les recommandations pour la suite du projet, priorisés et classés par partie prenante destinataire</w:t>
      </w:r>
      <w:r w:rsidR="00F539E2">
        <w:rPr>
          <w:rFonts w:asciiTheme="minorHAnsi" w:hAnsiTheme="minorHAnsi" w:cstheme="minorHAnsi"/>
        </w:rPr>
        <w:t>, y compris sur l’amélioration du dispositif de suivi-évaluation</w:t>
      </w:r>
      <w:r>
        <w:rPr>
          <w:rFonts w:asciiTheme="minorHAnsi" w:hAnsiTheme="minorHAnsi" w:cstheme="minorHAnsi"/>
        </w:rPr>
        <w:t>.</w:t>
      </w:r>
      <w:r w:rsidR="00D33D34">
        <w:rPr>
          <w:rFonts w:asciiTheme="minorHAnsi" w:hAnsiTheme="minorHAnsi" w:cstheme="minorHAnsi"/>
        </w:rPr>
        <w:t xml:space="preserve"> Une attention particulière sera portée à la stratégie de sortie et les enjeux liés à la capitalisation.</w:t>
      </w:r>
    </w:p>
    <w:p w14:paraId="4C377312" w14:textId="06465181" w:rsidR="00A71499" w:rsidRPr="00A71499" w:rsidRDefault="00A71499" w:rsidP="00A71499">
      <w:pPr>
        <w:pStyle w:val="Default"/>
        <w:spacing w:after="320" w:line="276" w:lineRule="auto"/>
        <w:jc w:val="both"/>
        <w:rPr>
          <w:rFonts w:asciiTheme="minorHAnsi" w:hAnsiTheme="minorHAnsi" w:cstheme="minorHAnsi"/>
          <w:i/>
        </w:rPr>
      </w:pPr>
      <w:r w:rsidRPr="00A71499">
        <w:rPr>
          <w:rFonts w:asciiTheme="minorHAnsi" w:hAnsiTheme="minorHAnsi" w:cstheme="minorHAnsi"/>
          <w:i/>
        </w:rPr>
        <w:t>Nombre de jours indicatif : 15 jours</w:t>
      </w:r>
    </w:p>
    <w:p w14:paraId="033416E3" w14:textId="77777777" w:rsidR="00A71499" w:rsidRDefault="00A71499" w:rsidP="00A71499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</w:p>
    <w:p w14:paraId="7CBA402E" w14:textId="17D37CE9" w:rsidR="00B410BB" w:rsidRPr="00830E83" w:rsidRDefault="00B410BB" w:rsidP="00067263">
      <w:pPr>
        <w:pStyle w:val="Default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b/>
        </w:rPr>
      </w:pPr>
      <w:r w:rsidRPr="00830E83">
        <w:rPr>
          <w:rFonts w:asciiTheme="minorHAnsi" w:hAnsiTheme="minorHAnsi" w:cstheme="minorHAnsi"/>
          <w:b/>
        </w:rPr>
        <w:t>Etape 3 : production du rapport final</w:t>
      </w:r>
      <w:r w:rsidR="00A71499">
        <w:rPr>
          <w:rFonts w:asciiTheme="minorHAnsi" w:hAnsiTheme="minorHAnsi" w:cstheme="minorHAnsi"/>
          <w:b/>
        </w:rPr>
        <w:t xml:space="preserve"> </w:t>
      </w:r>
      <w:r w:rsidRPr="00830E83">
        <w:rPr>
          <w:rFonts w:asciiTheme="minorHAnsi" w:hAnsiTheme="minorHAnsi" w:cstheme="minorHAnsi"/>
          <w:b/>
        </w:rPr>
        <w:t>(à distance)</w:t>
      </w:r>
      <w:r w:rsidR="00A024BB">
        <w:rPr>
          <w:rFonts w:asciiTheme="minorHAnsi" w:hAnsiTheme="minorHAnsi" w:cstheme="minorHAnsi"/>
          <w:b/>
        </w:rPr>
        <w:t xml:space="preserve"> – </w:t>
      </w:r>
      <w:r w:rsidR="003E79DA">
        <w:rPr>
          <w:rFonts w:asciiTheme="minorHAnsi" w:hAnsiTheme="minorHAnsi" w:cstheme="minorHAnsi"/>
          <w:b/>
        </w:rPr>
        <w:t>31/10/</w:t>
      </w:r>
      <w:r w:rsidR="00A024BB">
        <w:rPr>
          <w:rFonts w:asciiTheme="minorHAnsi" w:hAnsiTheme="minorHAnsi" w:cstheme="minorHAnsi"/>
          <w:b/>
        </w:rPr>
        <w:t>2021</w:t>
      </w:r>
    </w:p>
    <w:p w14:paraId="103D2F55" w14:textId="7B6A9338" w:rsidR="00B410BB" w:rsidRPr="00830E83" w:rsidRDefault="00AB6D15" w:rsidP="00B410BB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</w:t>
      </w:r>
      <w:r w:rsidR="00B410BB" w:rsidRPr="00830E83">
        <w:rPr>
          <w:rFonts w:asciiTheme="minorHAnsi" w:hAnsiTheme="minorHAnsi" w:cstheme="minorHAnsi"/>
        </w:rPr>
        <w:t xml:space="preserve">es évaluateurs </w:t>
      </w:r>
      <w:r w:rsidR="00D33D34">
        <w:rPr>
          <w:rFonts w:asciiTheme="minorHAnsi" w:hAnsiTheme="minorHAnsi" w:cstheme="minorHAnsi"/>
        </w:rPr>
        <w:t>intègreront</w:t>
      </w:r>
      <w:r w:rsidR="00B410BB" w:rsidRPr="00830E83">
        <w:rPr>
          <w:rFonts w:asciiTheme="minorHAnsi" w:hAnsiTheme="minorHAnsi" w:cstheme="minorHAnsi"/>
        </w:rPr>
        <w:t xml:space="preserve"> les éventuels commentaires et remarques et finaliser leur rapport qu’ils remettront à Expertise France. </w:t>
      </w:r>
    </w:p>
    <w:p w14:paraId="362685D8" w14:textId="25715C35" w:rsidR="00A71499" w:rsidRDefault="00B410BB" w:rsidP="00A71499">
      <w:pPr>
        <w:pStyle w:val="Default"/>
        <w:spacing w:after="320" w:line="276" w:lineRule="auto"/>
        <w:jc w:val="both"/>
        <w:rPr>
          <w:rFonts w:asciiTheme="minorHAnsi" w:hAnsiTheme="minorHAnsi" w:cstheme="minorHAnsi"/>
        </w:rPr>
      </w:pPr>
      <w:r w:rsidRPr="00830E83">
        <w:rPr>
          <w:rFonts w:asciiTheme="minorHAnsi" w:hAnsiTheme="minorHAnsi" w:cstheme="minorHAnsi"/>
        </w:rPr>
        <w:t xml:space="preserve">Le livrable de cette </w:t>
      </w:r>
      <w:r>
        <w:rPr>
          <w:rFonts w:asciiTheme="minorHAnsi" w:hAnsiTheme="minorHAnsi" w:cstheme="minorHAnsi"/>
        </w:rPr>
        <w:t xml:space="preserve">dernière </w:t>
      </w:r>
      <w:r w:rsidRPr="00830E83">
        <w:rPr>
          <w:rFonts w:asciiTheme="minorHAnsi" w:hAnsiTheme="minorHAnsi" w:cstheme="minorHAnsi"/>
        </w:rPr>
        <w:t>étape sera le rapport final d’évaluation.</w:t>
      </w:r>
      <w:r>
        <w:rPr>
          <w:rFonts w:asciiTheme="minorHAnsi" w:hAnsiTheme="minorHAnsi" w:cstheme="minorHAnsi"/>
        </w:rPr>
        <w:t xml:space="preserve"> </w:t>
      </w:r>
    </w:p>
    <w:p w14:paraId="35E4FC00" w14:textId="19454B1E" w:rsidR="00A71499" w:rsidRPr="00A71499" w:rsidRDefault="00A71499" w:rsidP="00A71499">
      <w:pPr>
        <w:pStyle w:val="Default"/>
        <w:spacing w:after="320" w:line="276" w:lineRule="auto"/>
        <w:jc w:val="both"/>
        <w:rPr>
          <w:rFonts w:asciiTheme="minorHAnsi" w:hAnsiTheme="minorHAnsi" w:cstheme="minorHAnsi"/>
          <w:i/>
        </w:rPr>
      </w:pPr>
      <w:r w:rsidRPr="00A71499">
        <w:rPr>
          <w:rFonts w:asciiTheme="minorHAnsi" w:hAnsiTheme="minorHAnsi" w:cstheme="minorHAnsi"/>
          <w:i/>
        </w:rPr>
        <w:t>Nombre de jours indicatif : 5 jours</w:t>
      </w:r>
    </w:p>
    <w:p w14:paraId="36EE8925" w14:textId="66EC7CD3" w:rsidR="00B410BB" w:rsidRDefault="00C44AE5" w:rsidP="00B410BB">
      <w:pPr>
        <w:pStyle w:val="Default"/>
        <w:jc w:val="both"/>
        <w:rPr>
          <w:rFonts w:asciiTheme="minorHAnsi" w:eastAsiaTheme="minorHAnsi" w:hAnsiTheme="minorHAnsi"/>
          <w:b/>
          <w:color w:val="auto"/>
          <w:kern w:val="0"/>
          <w:sz w:val="28"/>
          <w:szCs w:val="28"/>
          <w:lang w:eastAsia="en-US" w:bidi="ar-SA"/>
        </w:rPr>
      </w:pPr>
      <w:r w:rsidRPr="00C44AE5">
        <w:rPr>
          <w:rFonts w:asciiTheme="minorHAnsi" w:eastAsiaTheme="minorHAnsi" w:hAnsiTheme="minorHAnsi"/>
          <w:b/>
          <w:color w:val="auto"/>
          <w:kern w:val="0"/>
          <w:sz w:val="28"/>
          <w:szCs w:val="28"/>
          <w:lang w:eastAsia="en-US" w:bidi="ar-SA"/>
        </w:rPr>
        <w:t>LIVRABLES</w:t>
      </w:r>
    </w:p>
    <w:p w14:paraId="2A412B58" w14:textId="77777777" w:rsidR="00C44AE5" w:rsidRDefault="00C44AE5" w:rsidP="00B410BB">
      <w:pPr>
        <w:pStyle w:val="Default"/>
        <w:jc w:val="both"/>
        <w:rPr>
          <w:rFonts w:asciiTheme="minorHAnsi" w:eastAsiaTheme="minorHAnsi" w:hAnsiTheme="minorHAnsi"/>
          <w:b/>
          <w:color w:val="auto"/>
          <w:kern w:val="0"/>
          <w:sz w:val="28"/>
          <w:szCs w:val="28"/>
          <w:lang w:eastAsia="en-US" w:bidi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12401" w14:paraId="20ABB710" w14:textId="77777777" w:rsidTr="00772F5D">
        <w:tc>
          <w:tcPr>
            <w:tcW w:w="4531" w:type="dxa"/>
            <w:shd w:val="clear" w:color="auto" w:fill="4472C4" w:themeFill="accent5"/>
          </w:tcPr>
          <w:p w14:paraId="63A2A65E" w14:textId="62222F15" w:rsidR="00C12401" w:rsidRPr="00772F5D" w:rsidRDefault="00C12401" w:rsidP="000B1933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772F5D">
              <w:rPr>
                <w:rFonts w:cstheme="minorHAnsi"/>
                <w:b/>
                <w:color w:val="FFFFFF" w:themeColor="background1"/>
              </w:rPr>
              <w:t>Livrables</w:t>
            </w:r>
          </w:p>
        </w:tc>
        <w:tc>
          <w:tcPr>
            <w:tcW w:w="4531" w:type="dxa"/>
            <w:shd w:val="clear" w:color="auto" w:fill="4472C4" w:themeFill="accent5"/>
          </w:tcPr>
          <w:p w14:paraId="71D5585C" w14:textId="0278516E" w:rsidR="00C12401" w:rsidRPr="00772F5D" w:rsidRDefault="00C12401" w:rsidP="000B1933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772F5D">
              <w:rPr>
                <w:rFonts w:cstheme="minorHAnsi"/>
                <w:b/>
                <w:color w:val="FFFFFF" w:themeColor="background1"/>
              </w:rPr>
              <w:t>Délai</w:t>
            </w:r>
          </w:p>
        </w:tc>
      </w:tr>
      <w:tr w:rsidR="00C12401" w14:paraId="4B31AB11" w14:textId="77777777" w:rsidTr="000B1933">
        <w:tc>
          <w:tcPr>
            <w:tcW w:w="4531" w:type="dxa"/>
          </w:tcPr>
          <w:p w14:paraId="769A9B2E" w14:textId="60FF3051" w:rsidR="00C12401" w:rsidRDefault="00CC4B95" w:rsidP="000B193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Note de cadrage</w:t>
            </w:r>
          </w:p>
        </w:tc>
        <w:tc>
          <w:tcPr>
            <w:tcW w:w="4531" w:type="dxa"/>
          </w:tcPr>
          <w:p w14:paraId="244020A9" w14:textId="404A9D28" w:rsidR="00C12401" w:rsidRDefault="00F3495F" w:rsidP="000B193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Max. 15 jours après la réunion de lancement</w:t>
            </w:r>
          </w:p>
        </w:tc>
      </w:tr>
      <w:tr w:rsidR="00C12401" w14:paraId="4F02414F" w14:textId="77777777" w:rsidTr="000B1933">
        <w:tc>
          <w:tcPr>
            <w:tcW w:w="4531" w:type="dxa"/>
          </w:tcPr>
          <w:p w14:paraId="4B7C8371" w14:textId="504A9AD9" w:rsidR="00C12401" w:rsidRDefault="00CC4B95" w:rsidP="000B193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Rapport préliminaire d’évaluation</w:t>
            </w:r>
          </w:p>
        </w:tc>
        <w:tc>
          <w:tcPr>
            <w:tcW w:w="4531" w:type="dxa"/>
          </w:tcPr>
          <w:p w14:paraId="02CB5ED8" w14:textId="28519802" w:rsidR="00C12401" w:rsidRPr="00772F5D" w:rsidRDefault="003B41AE" w:rsidP="000B1933">
            <w:pPr>
              <w:jc w:val="center"/>
              <w:rPr>
                <w:rFonts w:cstheme="minorHAnsi"/>
              </w:rPr>
            </w:pPr>
            <w:r w:rsidRPr="00772F5D">
              <w:rPr>
                <w:rFonts w:cstheme="minorHAnsi"/>
              </w:rPr>
              <w:t>Fin de la mission en Haïti</w:t>
            </w:r>
          </w:p>
        </w:tc>
      </w:tr>
      <w:tr w:rsidR="00C12401" w14:paraId="58708CA8" w14:textId="77777777" w:rsidTr="000B1933">
        <w:tc>
          <w:tcPr>
            <w:tcW w:w="4531" w:type="dxa"/>
          </w:tcPr>
          <w:p w14:paraId="38AC1DEC" w14:textId="63404670" w:rsidR="00C12401" w:rsidRDefault="00C12401" w:rsidP="000B193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Rapport final d’évaluation</w:t>
            </w:r>
          </w:p>
        </w:tc>
        <w:tc>
          <w:tcPr>
            <w:tcW w:w="4531" w:type="dxa"/>
          </w:tcPr>
          <w:p w14:paraId="3E04C7C4" w14:textId="444CCBE4" w:rsidR="00C12401" w:rsidRDefault="003B41AE" w:rsidP="000B193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Max 15 jours après la fin de la mission en Haïti</w:t>
            </w:r>
          </w:p>
        </w:tc>
      </w:tr>
    </w:tbl>
    <w:p w14:paraId="777FDC56" w14:textId="77777777" w:rsidR="00C12401" w:rsidRDefault="00C12401" w:rsidP="00B410BB">
      <w:pPr>
        <w:pStyle w:val="Default"/>
        <w:jc w:val="both"/>
        <w:rPr>
          <w:rFonts w:asciiTheme="minorHAnsi" w:eastAsiaTheme="minorHAnsi" w:hAnsiTheme="minorHAnsi"/>
          <w:b/>
          <w:color w:val="auto"/>
          <w:kern w:val="0"/>
          <w:sz w:val="28"/>
          <w:szCs w:val="28"/>
          <w:lang w:eastAsia="en-US" w:bidi="ar-SA"/>
        </w:rPr>
      </w:pPr>
    </w:p>
    <w:p w14:paraId="21289097" w14:textId="77777777" w:rsidR="00C44AE5" w:rsidRPr="00C44AE5" w:rsidRDefault="00C44AE5" w:rsidP="00B410BB">
      <w:pPr>
        <w:pStyle w:val="Default"/>
        <w:jc w:val="both"/>
        <w:rPr>
          <w:rFonts w:asciiTheme="minorHAnsi" w:eastAsiaTheme="minorHAnsi" w:hAnsiTheme="minorHAnsi"/>
          <w:b/>
          <w:color w:val="auto"/>
          <w:kern w:val="0"/>
          <w:sz w:val="28"/>
          <w:szCs w:val="28"/>
          <w:lang w:eastAsia="en-US" w:bidi="ar-SA"/>
        </w:rPr>
      </w:pPr>
    </w:p>
    <w:p w14:paraId="78102422" w14:textId="2DD72165" w:rsidR="00B410BB" w:rsidRPr="00067263" w:rsidRDefault="00351A65" w:rsidP="0006726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="Arial"/>
          <w:b/>
          <w:sz w:val="28"/>
          <w:szCs w:val="28"/>
        </w:rPr>
      </w:pPr>
      <w:r w:rsidRPr="00067263">
        <w:rPr>
          <w:rFonts w:cs="Arial"/>
          <w:b/>
          <w:sz w:val="28"/>
          <w:szCs w:val="28"/>
        </w:rPr>
        <w:t xml:space="preserve">PROFIL </w:t>
      </w:r>
      <w:r>
        <w:rPr>
          <w:rFonts w:cs="Arial"/>
          <w:b/>
          <w:sz w:val="28"/>
          <w:szCs w:val="28"/>
        </w:rPr>
        <w:t>RECHERCHE</w:t>
      </w:r>
    </w:p>
    <w:p w14:paraId="1E47286F" w14:textId="77777777" w:rsidR="00B410BB" w:rsidRDefault="00B410BB" w:rsidP="00B410BB">
      <w:pPr>
        <w:pStyle w:val="Default"/>
        <w:spacing w:after="120" w:line="276" w:lineRule="auto"/>
        <w:jc w:val="both"/>
        <w:rPr>
          <w:rFonts w:eastAsia="SimSun"/>
          <w:b/>
          <w:color w:val="auto"/>
          <w:sz w:val="22"/>
        </w:rPr>
      </w:pPr>
    </w:p>
    <w:p w14:paraId="2AE6FC5F" w14:textId="77777777" w:rsidR="00B410BB" w:rsidRPr="00830E83" w:rsidRDefault="00B410BB" w:rsidP="00B410BB">
      <w:pPr>
        <w:pStyle w:val="Default"/>
        <w:spacing w:after="60" w:line="276" w:lineRule="auto"/>
        <w:jc w:val="both"/>
        <w:rPr>
          <w:rFonts w:asciiTheme="minorHAnsi" w:hAnsiTheme="minorHAnsi" w:cstheme="minorHAnsi"/>
        </w:rPr>
      </w:pPr>
      <w:r w:rsidRPr="00830E83">
        <w:rPr>
          <w:rFonts w:asciiTheme="minorHAnsi" w:hAnsiTheme="minorHAnsi" w:cstheme="minorHAnsi"/>
        </w:rPr>
        <w:t>Le prestataire en charge de l’évaluation devra disposer des qualifications suivantes :</w:t>
      </w:r>
    </w:p>
    <w:p w14:paraId="7A6C9E60" w14:textId="77777777" w:rsidR="00B410BB" w:rsidRPr="00AB6D15" w:rsidRDefault="00B410BB" w:rsidP="00B410BB">
      <w:pPr>
        <w:pStyle w:val="Paragraphedeliste"/>
        <w:numPr>
          <w:ilvl w:val="0"/>
          <w:numId w:val="26"/>
        </w:numPr>
        <w:spacing w:after="0" w:line="240" w:lineRule="auto"/>
        <w:jc w:val="both"/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</w:pPr>
      <w:r w:rsidRPr="00AB6D15">
        <w:rPr>
          <w:rFonts w:eastAsia="Arial" w:cstheme="minorHAnsi"/>
          <w:color w:val="000000"/>
          <w:kern w:val="3"/>
          <w:sz w:val="24"/>
          <w:szCs w:val="24"/>
          <w:lang w:eastAsia="zh-CN" w:bidi="hi-IN"/>
        </w:rPr>
        <w:t>Un minimum de 7 ans d'expérience professionnelle en matière de suivi et d’évaluation ;</w:t>
      </w:r>
    </w:p>
    <w:p w14:paraId="3404CF39" w14:textId="77777777" w:rsidR="00B410BB" w:rsidRPr="00830E83" w:rsidRDefault="00B410BB" w:rsidP="00B410BB">
      <w:pPr>
        <w:pStyle w:val="Default"/>
        <w:numPr>
          <w:ilvl w:val="0"/>
          <w:numId w:val="26"/>
        </w:numPr>
        <w:spacing w:after="60"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Pr="00830E83">
        <w:rPr>
          <w:rFonts w:asciiTheme="minorHAnsi" w:hAnsiTheme="minorHAnsi" w:cstheme="minorHAnsi"/>
        </w:rPr>
        <w:t>onnaissance et expérience professionnelle en matière d'évaluation ;</w:t>
      </w:r>
    </w:p>
    <w:p w14:paraId="378E8B69" w14:textId="77777777" w:rsidR="00B410BB" w:rsidRPr="00830E83" w:rsidRDefault="00B410BB" w:rsidP="00B410BB">
      <w:pPr>
        <w:pStyle w:val="Default"/>
        <w:numPr>
          <w:ilvl w:val="0"/>
          <w:numId w:val="26"/>
        </w:numPr>
        <w:spacing w:after="60"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Pr="00830E83">
        <w:rPr>
          <w:rFonts w:asciiTheme="minorHAnsi" w:hAnsiTheme="minorHAnsi" w:cstheme="minorHAnsi"/>
        </w:rPr>
        <w:t xml:space="preserve">xpérience en matière de coopération au développement ; </w:t>
      </w:r>
    </w:p>
    <w:p w14:paraId="7286FC7B" w14:textId="60C11491" w:rsidR="00B410BB" w:rsidRPr="00830E83" w:rsidRDefault="00AB6D15" w:rsidP="00B410BB">
      <w:pPr>
        <w:pStyle w:val="Default"/>
        <w:numPr>
          <w:ilvl w:val="0"/>
          <w:numId w:val="26"/>
        </w:numPr>
        <w:spacing w:after="60" w:line="276" w:lineRule="auto"/>
        <w:ind w:left="714" w:hanging="357"/>
        <w:jc w:val="both"/>
        <w:rPr>
          <w:rFonts w:asciiTheme="minorHAnsi" w:hAnsiTheme="minorHAnsi" w:cstheme="minorHAnsi"/>
        </w:rPr>
      </w:pPr>
      <w:r w:rsidRPr="00AB6D15">
        <w:rPr>
          <w:rFonts w:asciiTheme="minorHAnsi" w:hAnsiTheme="minorHAnsi" w:cstheme="minorHAnsi"/>
        </w:rPr>
        <w:t>Connaissance des problématiques de la gouvernance économique et financière et des réformes de l’Etat</w:t>
      </w:r>
      <w:r w:rsidRPr="00830E83">
        <w:rPr>
          <w:rFonts w:asciiTheme="minorHAnsi" w:hAnsiTheme="minorHAnsi" w:cstheme="minorHAnsi"/>
        </w:rPr>
        <w:t xml:space="preserve"> </w:t>
      </w:r>
      <w:r w:rsidR="00B410BB" w:rsidRPr="00830E83">
        <w:rPr>
          <w:rFonts w:asciiTheme="minorHAnsi" w:hAnsiTheme="minorHAnsi" w:cstheme="minorHAnsi"/>
        </w:rPr>
        <w:t xml:space="preserve">tout autre discipline pertinente au regard des activités du </w:t>
      </w:r>
      <w:r>
        <w:rPr>
          <w:rFonts w:asciiTheme="minorHAnsi" w:hAnsiTheme="minorHAnsi" w:cstheme="minorHAnsi"/>
        </w:rPr>
        <w:t>SBC-2</w:t>
      </w:r>
      <w:r w:rsidR="00B410BB">
        <w:rPr>
          <w:rFonts w:asciiTheme="minorHAnsi" w:hAnsiTheme="minorHAnsi" w:cstheme="minorHAnsi"/>
        </w:rPr>
        <w:t> ;</w:t>
      </w:r>
    </w:p>
    <w:p w14:paraId="3F90E382" w14:textId="64E9BC4A" w:rsidR="00B410BB" w:rsidRPr="00830E83" w:rsidRDefault="00B410BB" w:rsidP="00B410BB">
      <w:pPr>
        <w:pStyle w:val="Default"/>
        <w:numPr>
          <w:ilvl w:val="0"/>
          <w:numId w:val="26"/>
        </w:numPr>
        <w:spacing w:after="60"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Pr="00830E83">
        <w:rPr>
          <w:rFonts w:asciiTheme="minorHAnsi" w:hAnsiTheme="minorHAnsi" w:cstheme="minorHAnsi"/>
        </w:rPr>
        <w:t>xcellente connaissance du contexte</w:t>
      </w:r>
      <w:r w:rsidR="00AB6D15">
        <w:rPr>
          <w:rFonts w:asciiTheme="minorHAnsi" w:hAnsiTheme="minorHAnsi" w:cstheme="minorHAnsi"/>
        </w:rPr>
        <w:t xml:space="preserve"> Haïtien</w:t>
      </w:r>
      <w:r w:rsidRPr="00830E83">
        <w:rPr>
          <w:rFonts w:asciiTheme="minorHAnsi" w:hAnsiTheme="minorHAnsi" w:cstheme="minorHAnsi"/>
        </w:rPr>
        <w:t xml:space="preserve">; </w:t>
      </w:r>
    </w:p>
    <w:p w14:paraId="3474D090" w14:textId="77777777" w:rsidR="00B410BB" w:rsidRDefault="00B410BB" w:rsidP="00B410BB">
      <w:pPr>
        <w:pStyle w:val="Default"/>
        <w:numPr>
          <w:ilvl w:val="0"/>
          <w:numId w:val="26"/>
        </w:numPr>
        <w:spacing w:after="60"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Pr="00830E83">
        <w:rPr>
          <w:rFonts w:asciiTheme="minorHAnsi" w:hAnsiTheme="minorHAnsi" w:cstheme="minorHAnsi"/>
        </w:rPr>
        <w:t>xcellentes capacités de synthèse et de présentation</w:t>
      </w:r>
      <w:r>
        <w:rPr>
          <w:rFonts w:asciiTheme="minorHAnsi" w:hAnsiTheme="minorHAnsi" w:cstheme="minorHAnsi"/>
        </w:rPr>
        <w:t> ;</w:t>
      </w:r>
    </w:p>
    <w:p w14:paraId="0071F218" w14:textId="77777777" w:rsidR="00B410BB" w:rsidRPr="00830E83" w:rsidRDefault="00B410BB" w:rsidP="00B410BB">
      <w:pPr>
        <w:pStyle w:val="Default"/>
        <w:numPr>
          <w:ilvl w:val="0"/>
          <w:numId w:val="26"/>
        </w:numPr>
        <w:spacing w:after="160" w:line="276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parfaite m</w:t>
      </w:r>
      <w:r w:rsidRPr="00830E83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>î</w:t>
      </w:r>
      <w:r w:rsidRPr="00830E83">
        <w:rPr>
          <w:rFonts w:asciiTheme="minorHAnsi" w:hAnsiTheme="minorHAnsi" w:cstheme="minorHAnsi"/>
        </w:rPr>
        <w:t>trise du français à l’écrit et à l’oral.</w:t>
      </w:r>
    </w:p>
    <w:p w14:paraId="2E6124AA" w14:textId="3719BDC3" w:rsidR="00B410BB" w:rsidRPr="009176F8" w:rsidRDefault="00B410BB" w:rsidP="00B410BB">
      <w:pPr>
        <w:pStyle w:val="Default"/>
        <w:spacing w:after="3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0E83">
        <w:rPr>
          <w:rFonts w:asciiTheme="minorHAnsi" w:hAnsiTheme="minorHAnsi" w:cstheme="minorHAnsi"/>
        </w:rPr>
        <w:t xml:space="preserve">Le bureau d’études / les experts mobilisés pour la prestation ne </w:t>
      </w:r>
      <w:r>
        <w:rPr>
          <w:rFonts w:asciiTheme="minorHAnsi" w:hAnsiTheme="minorHAnsi" w:cstheme="minorHAnsi"/>
        </w:rPr>
        <w:t>devront</w:t>
      </w:r>
      <w:r w:rsidRPr="00830E8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avoir aucun lien</w:t>
      </w:r>
      <w:r w:rsidRPr="00830E83">
        <w:rPr>
          <w:rFonts w:asciiTheme="minorHAnsi" w:hAnsiTheme="minorHAnsi" w:cstheme="minorHAnsi"/>
        </w:rPr>
        <w:t xml:space="preserve"> avec la contrepartie qui soi</w:t>
      </w:r>
      <w:r>
        <w:rPr>
          <w:rFonts w:asciiTheme="minorHAnsi" w:hAnsiTheme="minorHAnsi" w:cstheme="minorHAnsi"/>
        </w:rPr>
        <w:t>t</w:t>
      </w:r>
      <w:r w:rsidRPr="00830E83">
        <w:rPr>
          <w:rFonts w:asciiTheme="minorHAnsi" w:hAnsiTheme="minorHAnsi" w:cstheme="minorHAnsi"/>
        </w:rPr>
        <w:t xml:space="preserve"> susceptible d’interférer dans le processus d’évaluation et de mettre en doute l’impartialité et l’objectivité de </w:t>
      </w:r>
      <w:r>
        <w:rPr>
          <w:rFonts w:asciiTheme="minorHAnsi" w:hAnsiTheme="minorHAnsi" w:cstheme="minorHAnsi"/>
        </w:rPr>
        <w:t>leurs</w:t>
      </w:r>
      <w:r w:rsidRPr="00830E83">
        <w:rPr>
          <w:rFonts w:asciiTheme="minorHAnsi" w:hAnsiTheme="minorHAnsi" w:cstheme="minorHAnsi"/>
        </w:rPr>
        <w:t xml:space="preserve"> conclusions.</w:t>
      </w:r>
      <w:r w:rsidR="00AB6D15">
        <w:rPr>
          <w:rFonts w:asciiTheme="minorHAnsi" w:hAnsiTheme="minorHAnsi" w:cstheme="minorHAnsi"/>
        </w:rPr>
        <w:t xml:space="preserve"> Le bureau d’étude/experts </w:t>
      </w:r>
      <w:r w:rsidR="00155954">
        <w:rPr>
          <w:rFonts w:asciiTheme="minorHAnsi" w:hAnsiTheme="minorHAnsi" w:cstheme="minorHAnsi"/>
        </w:rPr>
        <w:t>pourra</w:t>
      </w:r>
      <w:r w:rsidR="00AB6D15">
        <w:rPr>
          <w:rFonts w:asciiTheme="minorHAnsi" w:hAnsiTheme="minorHAnsi" w:cstheme="minorHAnsi"/>
        </w:rPr>
        <w:t xml:space="preserve"> être </w:t>
      </w:r>
      <w:r w:rsidR="00155954">
        <w:rPr>
          <w:rFonts w:asciiTheme="minorHAnsi" w:hAnsiTheme="minorHAnsi" w:cstheme="minorHAnsi"/>
        </w:rPr>
        <w:t>recruté</w:t>
      </w:r>
      <w:r w:rsidR="00AB6D15">
        <w:rPr>
          <w:rFonts w:asciiTheme="minorHAnsi" w:hAnsiTheme="minorHAnsi" w:cstheme="minorHAnsi"/>
        </w:rPr>
        <w:t xml:space="preserve"> localement</w:t>
      </w:r>
      <w:r w:rsidR="00B039D3">
        <w:rPr>
          <w:rFonts w:asciiTheme="minorHAnsi" w:hAnsiTheme="minorHAnsi" w:cstheme="minorHAnsi"/>
        </w:rPr>
        <w:t xml:space="preserve"> ou à l’international</w:t>
      </w:r>
      <w:r w:rsidR="00AB6D15">
        <w:rPr>
          <w:rFonts w:asciiTheme="minorHAnsi" w:hAnsiTheme="minorHAnsi" w:cstheme="minorHAnsi"/>
        </w:rPr>
        <w:t>.</w:t>
      </w:r>
    </w:p>
    <w:p w14:paraId="5FC84C19" w14:textId="39A7FE1A" w:rsidR="00B410BB" w:rsidRPr="00351A65" w:rsidRDefault="00351A65" w:rsidP="00351A6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cs="Arial"/>
          <w:b/>
          <w:sz w:val="28"/>
          <w:szCs w:val="28"/>
        </w:rPr>
      </w:pPr>
      <w:r w:rsidRPr="00351A65">
        <w:rPr>
          <w:rFonts w:cs="Arial"/>
          <w:b/>
          <w:sz w:val="28"/>
          <w:szCs w:val="28"/>
        </w:rPr>
        <w:t>INFORMATIONS COMPLEMENTAIRES</w:t>
      </w:r>
    </w:p>
    <w:p w14:paraId="221C4538" w14:textId="77777777" w:rsidR="00B410BB" w:rsidRPr="00F905FF" w:rsidRDefault="00B410BB" w:rsidP="00B410BB">
      <w:pPr>
        <w:pStyle w:val="Default"/>
        <w:jc w:val="both"/>
        <w:rPr>
          <w:sz w:val="22"/>
        </w:rPr>
      </w:pPr>
    </w:p>
    <w:p w14:paraId="31984751" w14:textId="77777777" w:rsidR="00B410BB" w:rsidRPr="001C44F8" w:rsidRDefault="00B410BB" w:rsidP="00351A65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</w:t>
      </w:r>
      <w:r w:rsidRPr="001C44F8">
        <w:rPr>
          <w:rFonts w:asciiTheme="minorHAnsi" w:hAnsiTheme="minorHAnsi" w:cstheme="minorHAnsi"/>
        </w:rPr>
        <w:t xml:space="preserve">es livrables et tous les documents de travail </w:t>
      </w:r>
      <w:r>
        <w:rPr>
          <w:rFonts w:asciiTheme="minorHAnsi" w:hAnsiTheme="minorHAnsi" w:cstheme="minorHAnsi"/>
        </w:rPr>
        <w:t xml:space="preserve">produits au cours de la mission </w:t>
      </w:r>
      <w:r w:rsidRPr="001C44F8">
        <w:rPr>
          <w:rFonts w:asciiTheme="minorHAnsi" w:hAnsiTheme="minorHAnsi" w:cstheme="minorHAnsi"/>
        </w:rPr>
        <w:t xml:space="preserve">seront rédigés en </w:t>
      </w:r>
      <w:r>
        <w:rPr>
          <w:rFonts w:asciiTheme="minorHAnsi" w:hAnsiTheme="minorHAnsi" w:cstheme="minorHAnsi"/>
        </w:rPr>
        <w:t>langue française.</w:t>
      </w:r>
    </w:p>
    <w:p w14:paraId="39F4BD53" w14:textId="77777777" w:rsidR="00B410BB" w:rsidRPr="001C44F8" w:rsidRDefault="00B410BB" w:rsidP="00351A65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1C44F8">
        <w:rPr>
          <w:rFonts w:asciiTheme="minorHAnsi" w:hAnsiTheme="minorHAnsi" w:cstheme="minorHAnsi"/>
        </w:rPr>
        <w:t xml:space="preserve">La </w:t>
      </w:r>
      <w:r>
        <w:rPr>
          <w:rFonts w:asciiTheme="minorHAnsi" w:hAnsiTheme="minorHAnsi" w:cstheme="minorHAnsi"/>
        </w:rPr>
        <w:t>mission</w:t>
      </w:r>
      <w:r w:rsidRPr="001C44F8">
        <w:rPr>
          <w:rFonts w:asciiTheme="minorHAnsi" w:hAnsiTheme="minorHAnsi" w:cstheme="minorHAnsi"/>
        </w:rPr>
        <w:t xml:space="preserve"> démarrera dès la signature du contrat avec le prestataire retenu.</w:t>
      </w:r>
    </w:p>
    <w:p w14:paraId="69739A3A" w14:textId="6FC24A62" w:rsidR="00B410BB" w:rsidRDefault="00B410BB" w:rsidP="00B410BB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1C44F8">
        <w:rPr>
          <w:rFonts w:asciiTheme="minorHAnsi" w:hAnsiTheme="minorHAnsi" w:cstheme="minorHAnsi"/>
        </w:rPr>
        <w:t xml:space="preserve">Les évaluateurs disposeront </w:t>
      </w:r>
      <w:r w:rsidR="00320EA2">
        <w:rPr>
          <w:rFonts w:asciiTheme="minorHAnsi" w:hAnsiTheme="minorHAnsi" w:cstheme="minorHAnsi"/>
        </w:rPr>
        <w:t>de 6 semaines</w:t>
      </w:r>
      <w:r>
        <w:rPr>
          <w:rFonts w:asciiTheme="minorHAnsi" w:hAnsiTheme="minorHAnsi" w:cstheme="minorHAnsi"/>
        </w:rPr>
        <w:t xml:space="preserve"> </w:t>
      </w:r>
      <w:r w:rsidRPr="001C44F8">
        <w:rPr>
          <w:rFonts w:asciiTheme="minorHAnsi" w:hAnsiTheme="minorHAnsi" w:cstheme="minorHAnsi"/>
        </w:rPr>
        <w:t xml:space="preserve">pour réaliser l’ensemble de </w:t>
      </w:r>
      <w:r>
        <w:rPr>
          <w:rFonts w:asciiTheme="minorHAnsi" w:hAnsiTheme="minorHAnsi" w:cstheme="minorHAnsi"/>
        </w:rPr>
        <w:t>la</w:t>
      </w:r>
      <w:r w:rsidRPr="001C44F8">
        <w:rPr>
          <w:rFonts w:asciiTheme="minorHAnsi" w:hAnsiTheme="minorHAnsi" w:cstheme="minorHAnsi"/>
        </w:rPr>
        <w:t xml:space="preserve"> mission. </w:t>
      </w:r>
    </w:p>
    <w:p w14:paraId="60585297" w14:textId="77777777" w:rsidR="00B410BB" w:rsidRDefault="00B410BB" w:rsidP="00B410BB">
      <w:pPr>
        <w:rPr>
          <w:rFonts w:cstheme="minorHAnsi"/>
        </w:rPr>
      </w:pPr>
    </w:p>
    <w:p w14:paraId="30873636" w14:textId="08FC2EAC" w:rsidR="00B410BB" w:rsidRPr="00351A65" w:rsidRDefault="00351A65" w:rsidP="00351A65">
      <w:pPr>
        <w:jc w:val="both"/>
        <w:rPr>
          <w:rFonts w:cs="Arial"/>
          <w:b/>
          <w:sz w:val="28"/>
          <w:szCs w:val="28"/>
        </w:rPr>
      </w:pPr>
      <w:r w:rsidRPr="00351A65">
        <w:rPr>
          <w:rFonts w:cs="Arial"/>
          <w:b/>
          <w:sz w:val="28"/>
          <w:szCs w:val="28"/>
        </w:rPr>
        <w:t>CRITERE DE SELECTION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410BB" w14:paraId="6281CF94" w14:textId="77777777" w:rsidTr="00772F5D">
        <w:tc>
          <w:tcPr>
            <w:tcW w:w="4531" w:type="dxa"/>
            <w:shd w:val="clear" w:color="auto" w:fill="C45911" w:themeFill="accent2" w:themeFillShade="BF"/>
          </w:tcPr>
          <w:p w14:paraId="4E378D82" w14:textId="77777777" w:rsidR="00B410BB" w:rsidRPr="00772F5D" w:rsidRDefault="00B410BB" w:rsidP="00E140A2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772F5D">
              <w:rPr>
                <w:rFonts w:cstheme="minorHAnsi"/>
                <w:b/>
                <w:color w:val="FFFFFF" w:themeColor="background1"/>
              </w:rPr>
              <w:lastRenderedPageBreak/>
              <w:t>Critères</w:t>
            </w:r>
          </w:p>
        </w:tc>
        <w:tc>
          <w:tcPr>
            <w:tcW w:w="4531" w:type="dxa"/>
            <w:shd w:val="clear" w:color="auto" w:fill="C45911" w:themeFill="accent2" w:themeFillShade="BF"/>
          </w:tcPr>
          <w:p w14:paraId="443C908A" w14:textId="77777777" w:rsidR="00B410BB" w:rsidRPr="00772F5D" w:rsidRDefault="00B410BB" w:rsidP="00E140A2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772F5D">
              <w:rPr>
                <w:rFonts w:cstheme="minorHAnsi"/>
                <w:b/>
                <w:color w:val="FFFFFF" w:themeColor="background1"/>
              </w:rPr>
              <w:t>Points</w:t>
            </w:r>
          </w:p>
        </w:tc>
      </w:tr>
      <w:tr w:rsidR="00B410BB" w14:paraId="7048E4C0" w14:textId="77777777" w:rsidTr="00E140A2">
        <w:tc>
          <w:tcPr>
            <w:tcW w:w="4531" w:type="dxa"/>
          </w:tcPr>
          <w:p w14:paraId="29054B9D" w14:textId="77777777" w:rsidR="00B410BB" w:rsidRDefault="00B410BB" w:rsidP="00E140A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Expériences dans le suivi et évaluation</w:t>
            </w:r>
          </w:p>
        </w:tc>
        <w:tc>
          <w:tcPr>
            <w:tcW w:w="4531" w:type="dxa"/>
          </w:tcPr>
          <w:p w14:paraId="4B32A0A0" w14:textId="77777777" w:rsidR="00B410BB" w:rsidRDefault="00B410BB" w:rsidP="00E140A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</w:tr>
      <w:tr w:rsidR="00B410BB" w14:paraId="11473E23" w14:textId="77777777" w:rsidTr="00E140A2">
        <w:tc>
          <w:tcPr>
            <w:tcW w:w="4531" w:type="dxa"/>
          </w:tcPr>
          <w:p w14:paraId="377C96A8" w14:textId="77777777" w:rsidR="00B410BB" w:rsidRDefault="00B410BB" w:rsidP="00E140A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Références pertinentes de mission de suivi &amp; évaluation sur projet de coopération internationale</w:t>
            </w:r>
          </w:p>
        </w:tc>
        <w:tc>
          <w:tcPr>
            <w:tcW w:w="4531" w:type="dxa"/>
          </w:tcPr>
          <w:p w14:paraId="41AC7D14" w14:textId="77777777" w:rsidR="00B410BB" w:rsidRDefault="00B410BB" w:rsidP="00E140A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B410BB" w14:paraId="69AB0361" w14:textId="77777777" w:rsidTr="00E140A2">
        <w:tc>
          <w:tcPr>
            <w:tcW w:w="4531" w:type="dxa"/>
          </w:tcPr>
          <w:p w14:paraId="75277E55" w14:textId="77777777" w:rsidR="00B410BB" w:rsidRDefault="00B410BB" w:rsidP="00E140A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Connaissance des problématiques de la gouvernance économique et financière et des réformes de l’Etat</w:t>
            </w:r>
          </w:p>
        </w:tc>
        <w:tc>
          <w:tcPr>
            <w:tcW w:w="4531" w:type="dxa"/>
          </w:tcPr>
          <w:p w14:paraId="072676DF" w14:textId="5549A9A1" w:rsidR="00B410BB" w:rsidRDefault="00BA28D5" w:rsidP="00E140A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B410BB">
              <w:rPr>
                <w:rFonts w:cstheme="minorHAnsi"/>
              </w:rPr>
              <w:t>0</w:t>
            </w:r>
          </w:p>
        </w:tc>
      </w:tr>
      <w:tr w:rsidR="00B410BB" w14:paraId="2239A4B3" w14:textId="77777777" w:rsidTr="00E140A2">
        <w:tc>
          <w:tcPr>
            <w:tcW w:w="4531" w:type="dxa"/>
          </w:tcPr>
          <w:p w14:paraId="60AD8D2F" w14:textId="7FE6D36B" w:rsidR="00B410BB" w:rsidRDefault="00B410BB" w:rsidP="000E4CB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Connaissance d’Haïti </w:t>
            </w:r>
          </w:p>
        </w:tc>
        <w:tc>
          <w:tcPr>
            <w:tcW w:w="4531" w:type="dxa"/>
          </w:tcPr>
          <w:p w14:paraId="7D0E21F5" w14:textId="77777777" w:rsidR="00B410BB" w:rsidRDefault="00B410BB" w:rsidP="00E140A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</w:tr>
      <w:tr w:rsidR="00B410BB" w14:paraId="6F114EA9" w14:textId="77777777" w:rsidTr="00E140A2">
        <w:tc>
          <w:tcPr>
            <w:tcW w:w="4531" w:type="dxa"/>
          </w:tcPr>
          <w:p w14:paraId="187021B3" w14:textId="77777777" w:rsidR="00B410BB" w:rsidRDefault="00B410BB" w:rsidP="00E140A2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Prix</w:t>
            </w:r>
          </w:p>
        </w:tc>
        <w:tc>
          <w:tcPr>
            <w:tcW w:w="4531" w:type="dxa"/>
          </w:tcPr>
          <w:p w14:paraId="20C98C1F" w14:textId="05FD65C6" w:rsidR="00B410BB" w:rsidRDefault="00BA28D5" w:rsidP="00E140A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B410BB">
              <w:rPr>
                <w:rFonts w:cstheme="minorHAnsi"/>
              </w:rPr>
              <w:t>0</w:t>
            </w:r>
          </w:p>
        </w:tc>
      </w:tr>
      <w:tr w:rsidR="00B410BB" w14:paraId="3BA25173" w14:textId="77777777" w:rsidTr="00772F5D">
        <w:tc>
          <w:tcPr>
            <w:tcW w:w="4531" w:type="dxa"/>
            <w:shd w:val="clear" w:color="auto" w:fill="C45911" w:themeFill="accent2" w:themeFillShade="BF"/>
          </w:tcPr>
          <w:p w14:paraId="06039B97" w14:textId="77777777" w:rsidR="00B410BB" w:rsidRPr="00772F5D" w:rsidRDefault="00B410BB" w:rsidP="00772F5D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772F5D">
              <w:rPr>
                <w:rFonts w:cstheme="minorHAnsi"/>
                <w:b/>
                <w:color w:val="FFFFFF" w:themeColor="background1"/>
              </w:rPr>
              <w:t>Total</w:t>
            </w:r>
          </w:p>
        </w:tc>
        <w:tc>
          <w:tcPr>
            <w:tcW w:w="4531" w:type="dxa"/>
            <w:shd w:val="clear" w:color="auto" w:fill="C45911" w:themeFill="accent2" w:themeFillShade="BF"/>
          </w:tcPr>
          <w:p w14:paraId="53749C70" w14:textId="77777777" w:rsidR="00B410BB" w:rsidRPr="00772F5D" w:rsidRDefault="00B410BB" w:rsidP="00E140A2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772F5D">
              <w:rPr>
                <w:rFonts w:cstheme="minorHAnsi"/>
                <w:b/>
                <w:color w:val="FFFFFF" w:themeColor="background1"/>
              </w:rPr>
              <w:t>100</w:t>
            </w:r>
          </w:p>
        </w:tc>
      </w:tr>
    </w:tbl>
    <w:p w14:paraId="5D1B7DAB" w14:textId="77777777" w:rsidR="00B410BB" w:rsidRDefault="00B410BB" w:rsidP="00B410BB">
      <w:pPr>
        <w:jc w:val="both"/>
        <w:rPr>
          <w:rFonts w:cstheme="minorHAnsi"/>
        </w:rPr>
      </w:pPr>
    </w:p>
    <w:p w14:paraId="4300E388" w14:textId="77777777" w:rsidR="00B410BB" w:rsidRDefault="00B410BB" w:rsidP="00E752A5">
      <w:pPr>
        <w:jc w:val="both"/>
        <w:rPr>
          <w:rFonts w:cstheme="minorHAnsi"/>
        </w:rPr>
      </w:pPr>
    </w:p>
    <w:p w14:paraId="21FD6B5B" w14:textId="70630298" w:rsidR="000C25F6" w:rsidRPr="00351A65" w:rsidRDefault="000C25F6" w:rsidP="00351A65">
      <w:pPr>
        <w:rPr>
          <w:rFonts w:cstheme="minorHAnsi"/>
        </w:rPr>
      </w:pPr>
    </w:p>
    <w:p w14:paraId="120C5229" w14:textId="77777777" w:rsidR="000C25F6" w:rsidRDefault="000C25F6" w:rsidP="002A1991">
      <w:pPr>
        <w:ind w:firstLine="708"/>
        <w:jc w:val="both"/>
        <w:rPr>
          <w:rFonts w:eastAsia="Times New Roman" w:cs="Arial"/>
          <w:szCs w:val="24"/>
        </w:rPr>
      </w:pPr>
    </w:p>
    <w:p w14:paraId="7DB8A909" w14:textId="77777777" w:rsidR="000C25F6" w:rsidRDefault="000C25F6" w:rsidP="000C25F6">
      <w:pPr>
        <w:jc w:val="center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>*</w:t>
      </w:r>
    </w:p>
    <w:p w14:paraId="2CF660FD" w14:textId="51FDC92E" w:rsidR="00677CC7" w:rsidRPr="004E75D6" w:rsidRDefault="000C25F6" w:rsidP="00C004C8">
      <w:pPr>
        <w:jc w:val="center"/>
      </w:pPr>
      <w:r>
        <w:t>*</w:t>
      </w:r>
      <w:r>
        <w:tab/>
        <w:t>*</w:t>
      </w:r>
    </w:p>
    <w:sectPr w:rsidR="00677CC7" w:rsidRPr="004E75D6" w:rsidSect="0083797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CD865" w14:textId="77777777" w:rsidR="007E1100" w:rsidRDefault="007E1100" w:rsidP="004E75D6">
      <w:pPr>
        <w:spacing w:after="0" w:line="240" w:lineRule="auto"/>
      </w:pPr>
      <w:r>
        <w:separator/>
      </w:r>
    </w:p>
  </w:endnote>
  <w:endnote w:type="continuationSeparator" w:id="0">
    <w:p w14:paraId="6C514245" w14:textId="77777777" w:rsidR="007E1100" w:rsidRDefault="007E1100" w:rsidP="004E7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erif">
    <w:altName w:val="Times New Roman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5190317"/>
      <w:docPartObj>
        <w:docPartGallery w:val="Page Numbers (Bottom of Page)"/>
        <w:docPartUnique/>
      </w:docPartObj>
    </w:sdtPr>
    <w:sdtEndPr/>
    <w:sdtContent>
      <w:p w14:paraId="62BF835E" w14:textId="77777777" w:rsidR="00837977" w:rsidRDefault="0083797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42D">
          <w:rPr>
            <w:noProof/>
          </w:rPr>
          <w:t>4</w:t>
        </w:r>
        <w:r>
          <w:fldChar w:fldCharType="end"/>
        </w:r>
      </w:p>
    </w:sdtContent>
  </w:sdt>
  <w:p w14:paraId="681F8869" w14:textId="77777777" w:rsidR="00837977" w:rsidRDefault="0083797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7E35F1" w14:textId="77777777" w:rsidR="007E1100" w:rsidRDefault="007E1100" w:rsidP="004E75D6">
      <w:pPr>
        <w:spacing w:after="0" w:line="240" w:lineRule="auto"/>
      </w:pPr>
      <w:r>
        <w:separator/>
      </w:r>
    </w:p>
  </w:footnote>
  <w:footnote w:type="continuationSeparator" w:id="0">
    <w:p w14:paraId="18F06431" w14:textId="77777777" w:rsidR="007E1100" w:rsidRDefault="007E1100" w:rsidP="004E7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CEE0C" w14:textId="758686BC" w:rsidR="00837977" w:rsidRPr="00781249" w:rsidRDefault="00837977">
    <w:pPr>
      <w:pStyle w:val="En-tte"/>
      <w:rPr>
        <w:i/>
      </w:rPr>
    </w:pPr>
    <w:r w:rsidRPr="00781249">
      <w:rPr>
        <w:i/>
      </w:rPr>
      <w:t>T</w:t>
    </w:r>
    <w:r w:rsidR="00781249">
      <w:rPr>
        <w:i/>
      </w:rPr>
      <w:t xml:space="preserve">ermes de références </w:t>
    </w:r>
    <w:r w:rsidR="00C911B2">
      <w:rPr>
        <w:i/>
      </w:rPr>
      <w:t>–</w:t>
    </w:r>
    <w:r w:rsidR="00781249">
      <w:rPr>
        <w:i/>
      </w:rPr>
      <w:t xml:space="preserve"> </w:t>
    </w:r>
    <w:r w:rsidR="00351A65">
      <w:rPr>
        <w:i/>
      </w:rPr>
      <w:t>Réalisation d’une évaluation projet</w:t>
    </w:r>
    <w:r w:rsidR="00C911B2">
      <w:rPr>
        <w:i/>
      </w:rPr>
      <w:t xml:space="preserve"> </w:t>
    </w:r>
    <w:r>
      <w:tab/>
    </w:r>
    <w:r>
      <w:tab/>
    </w:r>
    <w:r w:rsidRPr="00781249">
      <w:rPr>
        <w:i/>
      </w:rPr>
      <w:t>SBC-II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844E2"/>
    <w:multiLevelType w:val="hybridMultilevel"/>
    <w:tmpl w:val="8B5A95F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D353A"/>
    <w:multiLevelType w:val="hybridMultilevel"/>
    <w:tmpl w:val="41D4E8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276E2"/>
    <w:multiLevelType w:val="hybridMultilevel"/>
    <w:tmpl w:val="13E0D9B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1C25"/>
    <w:multiLevelType w:val="hybridMultilevel"/>
    <w:tmpl w:val="BAC8FDE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25075"/>
    <w:multiLevelType w:val="hybridMultilevel"/>
    <w:tmpl w:val="B658052C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F23A5"/>
    <w:multiLevelType w:val="hybridMultilevel"/>
    <w:tmpl w:val="2DF69976"/>
    <w:lvl w:ilvl="0" w:tplc="0D6E99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B72B2"/>
    <w:multiLevelType w:val="hybridMultilevel"/>
    <w:tmpl w:val="DC7E7C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45734"/>
    <w:multiLevelType w:val="hybridMultilevel"/>
    <w:tmpl w:val="956A789C"/>
    <w:lvl w:ilvl="0" w:tplc="97005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D6E995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21E8A"/>
    <w:multiLevelType w:val="multilevel"/>
    <w:tmpl w:val="9E3618C4"/>
    <w:styleLink w:val="WWNum1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6187B"/>
    <w:multiLevelType w:val="hybridMultilevel"/>
    <w:tmpl w:val="C1BCBC5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2262CE"/>
    <w:multiLevelType w:val="multilevel"/>
    <w:tmpl w:val="664E21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0D79AA"/>
    <w:multiLevelType w:val="multilevel"/>
    <w:tmpl w:val="759ECD96"/>
    <w:lvl w:ilvl="0">
      <w:start w:val="3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AE77949"/>
    <w:multiLevelType w:val="hybridMultilevel"/>
    <w:tmpl w:val="6F8A842A"/>
    <w:lvl w:ilvl="0" w:tplc="97005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F7F5B"/>
    <w:multiLevelType w:val="hybridMultilevel"/>
    <w:tmpl w:val="E0B400C0"/>
    <w:lvl w:ilvl="0" w:tplc="0E82E9A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9589D"/>
    <w:multiLevelType w:val="hybridMultilevel"/>
    <w:tmpl w:val="A87AFBEA"/>
    <w:lvl w:ilvl="0" w:tplc="66B4870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F55B3"/>
    <w:multiLevelType w:val="hybridMultilevel"/>
    <w:tmpl w:val="C8922D76"/>
    <w:lvl w:ilvl="0" w:tplc="D88CFA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2371A"/>
    <w:multiLevelType w:val="hybridMultilevel"/>
    <w:tmpl w:val="4E8CC1DE"/>
    <w:lvl w:ilvl="0" w:tplc="66B4870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36179F"/>
    <w:multiLevelType w:val="hybridMultilevel"/>
    <w:tmpl w:val="C8E45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A71E13"/>
    <w:multiLevelType w:val="hybridMultilevel"/>
    <w:tmpl w:val="01B4B0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461409"/>
    <w:multiLevelType w:val="hybridMultilevel"/>
    <w:tmpl w:val="F7CAA990"/>
    <w:lvl w:ilvl="0" w:tplc="4DE0F0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7E53BE"/>
    <w:multiLevelType w:val="hybridMultilevel"/>
    <w:tmpl w:val="B06E1896"/>
    <w:lvl w:ilvl="0" w:tplc="66B4870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F15796"/>
    <w:multiLevelType w:val="hybridMultilevel"/>
    <w:tmpl w:val="E248AAB6"/>
    <w:lvl w:ilvl="0" w:tplc="66B4870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A59"/>
    <w:multiLevelType w:val="hybridMultilevel"/>
    <w:tmpl w:val="BA000504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6A05E7"/>
    <w:multiLevelType w:val="hybridMultilevel"/>
    <w:tmpl w:val="5A56F6D4"/>
    <w:lvl w:ilvl="0" w:tplc="0D6E99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514FE"/>
    <w:multiLevelType w:val="hybridMultilevel"/>
    <w:tmpl w:val="05E44C2E"/>
    <w:lvl w:ilvl="0" w:tplc="66B4870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9C4826"/>
    <w:multiLevelType w:val="hybridMultilevel"/>
    <w:tmpl w:val="56DA70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877B80"/>
    <w:multiLevelType w:val="hybridMultilevel"/>
    <w:tmpl w:val="83943F0E"/>
    <w:lvl w:ilvl="0" w:tplc="97005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29406E"/>
    <w:multiLevelType w:val="hybridMultilevel"/>
    <w:tmpl w:val="14BCE43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75843F4"/>
    <w:multiLevelType w:val="hybridMultilevel"/>
    <w:tmpl w:val="22E4F2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5"/>
  </w:num>
  <w:num w:numId="3">
    <w:abstractNumId w:val="12"/>
  </w:num>
  <w:num w:numId="4">
    <w:abstractNumId w:val="26"/>
  </w:num>
  <w:num w:numId="5">
    <w:abstractNumId w:val="15"/>
  </w:num>
  <w:num w:numId="6">
    <w:abstractNumId w:val="13"/>
  </w:num>
  <w:num w:numId="7">
    <w:abstractNumId w:val="9"/>
  </w:num>
  <w:num w:numId="8">
    <w:abstractNumId w:val="3"/>
  </w:num>
  <w:num w:numId="9">
    <w:abstractNumId w:val="0"/>
  </w:num>
  <w:num w:numId="10">
    <w:abstractNumId w:val="27"/>
  </w:num>
  <w:num w:numId="11">
    <w:abstractNumId w:val="0"/>
  </w:num>
  <w:num w:numId="12">
    <w:abstractNumId w:val="6"/>
  </w:num>
  <w:num w:numId="13">
    <w:abstractNumId w:val="18"/>
  </w:num>
  <w:num w:numId="14">
    <w:abstractNumId w:val="17"/>
  </w:num>
  <w:num w:numId="15">
    <w:abstractNumId w:val="5"/>
  </w:num>
  <w:num w:numId="16">
    <w:abstractNumId w:val="23"/>
  </w:num>
  <w:num w:numId="17">
    <w:abstractNumId w:val="22"/>
  </w:num>
  <w:num w:numId="18">
    <w:abstractNumId w:val="10"/>
  </w:num>
  <w:num w:numId="19">
    <w:abstractNumId w:val="11"/>
  </w:num>
  <w:num w:numId="20">
    <w:abstractNumId w:val="4"/>
  </w:num>
  <w:num w:numId="21">
    <w:abstractNumId w:val="8"/>
  </w:num>
  <w:num w:numId="22">
    <w:abstractNumId w:val="20"/>
  </w:num>
  <w:num w:numId="23">
    <w:abstractNumId w:val="21"/>
  </w:num>
  <w:num w:numId="24">
    <w:abstractNumId w:val="14"/>
  </w:num>
  <w:num w:numId="25">
    <w:abstractNumId w:val="16"/>
  </w:num>
  <w:num w:numId="26">
    <w:abstractNumId w:val="24"/>
  </w:num>
  <w:num w:numId="27">
    <w:abstractNumId w:val="1"/>
  </w:num>
  <w:num w:numId="28">
    <w:abstractNumId w:val="2"/>
  </w:num>
  <w:num w:numId="29">
    <w:abstractNumId w:val="28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5D6"/>
    <w:rsid w:val="000043CA"/>
    <w:rsid w:val="00022A4A"/>
    <w:rsid w:val="00037D2D"/>
    <w:rsid w:val="00042EDE"/>
    <w:rsid w:val="00060E86"/>
    <w:rsid w:val="00066492"/>
    <w:rsid w:val="00067263"/>
    <w:rsid w:val="00085FFD"/>
    <w:rsid w:val="0009410E"/>
    <w:rsid w:val="00094119"/>
    <w:rsid w:val="000A6FB5"/>
    <w:rsid w:val="000B4267"/>
    <w:rsid w:val="000C25F6"/>
    <w:rsid w:val="000C2CD8"/>
    <w:rsid w:val="000E4CB8"/>
    <w:rsid w:val="000E7699"/>
    <w:rsid w:val="000F2BB4"/>
    <w:rsid w:val="001024BE"/>
    <w:rsid w:val="00110734"/>
    <w:rsid w:val="0013001F"/>
    <w:rsid w:val="00140330"/>
    <w:rsid w:val="0015124D"/>
    <w:rsid w:val="00155954"/>
    <w:rsid w:val="00157890"/>
    <w:rsid w:val="00174344"/>
    <w:rsid w:val="00187937"/>
    <w:rsid w:val="001908B0"/>
    <w:rsid w:val="00190FB8"/>
    <w:rsid w:val="00191DBC"/>
    <w:rsid w:val="0019496D"/>
    <w:rsid w:val="001C77EA"/>
    <w:rsid w:val="001E6498"/>
    <w:rsid w:val="001F50D8"/>
    <w:rsid w:val="002115AE"/>
    <w:rsid w:val="00227896"/>
    <w:rsid w:val="00242468"/>
    <w:rsid w:val="0026029D"/>
    <w:rsid w:val="0027354D"/>
    <w:rsid w:val="00284713"/>
    <w:rsid w:val="002A1991"/>
    <w:rsid w:val="002A22CE"/>
    <w:rsid w:val="002B5301"/>
    <w:rsid w:val="002C22F6"/>
    <w:rsid w:val="002C491F"/>
    <w:rsid w:val="002F3AA3"/>
    <w:rsid w:val="002F4066"/>
    <w:rsid w:val="003018A4"/>
    <w:rsid w:val="003066EC"/>
    <w:rsid w:val="00320EA2"/>
    <w:rsid w:val="0033432E"/>
    <w:rsid w:val="00340C7C"/>
    <w:rsid w:val="00351A65"/>
    <w:rsid w:val="003B41AE"/>
    <w:rsid w:val="003B6EEA"/>
    <w:rsid w:val="003C433A"/>
    <w:rsid w:val="003C75B2"/>
    <w:rsid w:val="003E4358"/>
    <w:rsid w:val="003E5902"/>
    <w:rsid w:val="003E79DA"/>
    <w:rsid w:val="00412C5B"/>
    <w:rsid w:val="0041642D"/>
    <w:rsid w:val="004201C1"/>
    <w:rsid w:val="00423B18"/>
    <w:rsid w:val="00451ED0"/>
    <w:rsid w:val="004A7E04"/>
    <w:rsid w:val="004D09CC"/>
    <w:rsid w:val="004E5E1B"/>
    <w:rsid w:val="004E75D6"/>
    <w:rsid w:val="004F4BFC"/>
    <w:rsid w:val="0052095A"/>
    <w:rsid w:val="00533EEF"/>
    <w:rsid w:val="00551120"/>
    <w:rsid w:val="005B2598"/>
    <w:rsid w:val="005C0915"/>
    <w:rsid w:val="005E18B1"/>
    <w:rsid w:val="005F4FD9"/>
    <w:rsid w:val="00626894"/>
    <w:rsid w:val="00652521"/>
    <w:rsid w:val="00677918"/>
    <w:rsid w:val="00677CC7"/>
    <w:rsid w:val="006A052D"/>
    <w:rsid w:val="006A0D80"/>
    <w:rsid w:val="006B2816"/>
    <w:rsid w:val="0070714E"/>
    <w:rsid w:val="00712813"/>
    <w:rsid w:val="00740302"/>
    <w:rsid w:val="007403DF"/>
    <w:rsid w:val="00757028"/>
    <w:rsid w:val="007721B7"/>
    <w:rsid w:val="00772F5D"/>
    <w:rsid w:val="007770E2"/>
    <w:rsid w:val="00781249"/>
    <w:rsid w:val="0079584F"/>
    <w:rsid w:val="007A1EB3"/>
    <w:rsid w:val="007A3415"/>
    <w:rsid w:val="007C0E08"/>
    <w:rsid w:val="007E1100"/>
    <w:rsid w:val="007E5A6C"/>
    <w:rsid w:val="007F2184"/>
    <w:rsid w:val="00806848"/>
    <w:rsid w:val="00821A04"/>
    <w:rsid w:val="008318F7"/>
    <w:rsid w:val="00832835"/>
    <w:rsid w:val="00832895"/>
    <w:rsid w:val="00837977"/>
    <w:rsid w:val="00877273"/>
    <w:rsid w:val="00881349"/>
    <w:rsid w:val="0088469A"/>
    <w:rsid w:val="00897053"/>
    <w:rsid w:val="008D23CD"/>
    <w:rsid w:val="008D7C25"/>
    <w:rsid w:val="008E6384"/>
    <w:rsid w:val="00931814"/>
    <w:rsid w:val="00960A89"/>
    <w:rsid w:val="00961BF6"/>
    <w:rsid w:val="009762B2"/>
    <w:rsid w:val="00982593"/>
    <w:rsid w:val="009A03A9"/>
    <w:rsid w:val="009F2776"/>
    <w:rsid w:val="00A024BB"/>
    <w:rsid w:val="00A03686"/>
    <w:rsid w:val="00A06CBF"/>
    <w:rsid w:val="00A71499"/>
    <w:rsid w:val="00A73368"/>
    <w:rsid w:val="00A75A88"/>
    <w:rsid w:val="00AB6D15"/>
    <w:rsid w:val="00AE5982"/>
    <w:rsid w:val="00AF3400"/>
    <w:rsid w:val="00AF50F7"/>
    <w:rsid w:val="00AF5D99"/>
    <w:rsid w:val="00B032D6"/>
    <w:rsid w:val="00B039D3"/>
    <w:rsid w:val="00B410BB"/>
    <w:rsid w:val="00B66FF1"/>
    <w:rsid w:val="00B72500"/>
    <w:rsid w:val="00BA0B53"/>
    <w:rsid w:val="00BA1810"/>
    <w:rsid w:val="00BA28D5"/>
    <w:rsid w:val="00BB7FC8"/>
    <w:rsid w:val="00BC6E54"/>
    <w:rsid w:val="00BD1188"/>
    <w:rsid w:val="00BE16D5"/>
    <w:rsid w:val="00C004C8"/>
    <w:rsid w:val="00C12401"/>
    <w:rsid w:val="00C129A0"/>
    <w:rsid w:val="00C1700D"/>
    <w:rsid w:val="00C23B90"/>
    <w:rsid w:val="00C43DDE"/>
    <w:rsid w:val="00C44AE5"/>
    <w:rsid w:val="00C5092F"/>
    <w:rsid w:val="00C60A0A"/>
    <w:rsid w:val="00C6322F"/>
    <w:rsid w:val="00C7067F"/>
    <w:rsid w:val="00C70DD8"/>
    <w:rsid w:val="00C81B96"/>
    <w:rsid w:val="00C911B2"/>
    <w:rsid w:val="00CB0B8F"/>
    <w:rsid w:val="00CC3537"/>
    <w:rsid w:val="00CC4B95"/>
    <w:rsid w:val="00CD261E"/>
    <w:rsid w:val="00CF1052"/>
    <w:rsid w:val="00CF5367"/>
    <w:rsid w:val="00CF6C9D"/>
    <w:rsid w:val="00D10125"/>
    <w:rsid w:val="00D2188B"/>
    <w:rsid w:val="00D315CE"/>
    <w:rsid w:val="00D33D34"/>
    <w:rsid w:val="00D343EB"/>
    <w:rsid w:val="00D56F97"/>
    <w:rsid w:val="00D67531"/>
    <w:rsid w:val="00D75473"/>
    <w:rsid w:val="00D92BD3"/>
    <w:rsid w:val="00DA1E4B"/>
    <w:rsid w:val="00DD493A"/>
    <w:rsid w:val="00DE140E"/>
    <w:rsid w:val="00E01389"/>
    <w:rsid w:val="00E33AF7"/>
    <w:rsid w:val="00E37811"/>
    <w:rsid w:val="00E503E0"/>
    <w:rsid w:val="00E5438B"/>
    <w:rsid w:val="00E752A5"/>
    <w:rsid w:val="00E8016A"/>
    <w:rsid w:val="00EA40E7"/>
    <w:rsid w:val="00EB3474"/>
    <w:rsid w:val="00EC1B03"/>
    <w:rsid w:val="00EE177C"/>
    <w:rsid w:val="00F0746E"/>
    <w:rsid w:val="00F3495F"/>
    <w:rsid w:val="00F539E2"/>
    <w:rsid w:val="00F923FE"/>
    <w:rsid w:val="00FB3931"/>
    <w:rsid w:val="00FE1AE1"/>
    <w:rsid w:val="00FE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E2FB2"/>
  <w15:chartTrackingRefBased/>
  <w15:docId w15:val="{0D794A4A-9CF0-4B76-8EE1-F2CC6D199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nhideWhenUsed/>
    <w:rsid w:val="004E75D6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4E75D6"/>
    <w:rPr>
      <w:sz w:val="20"/>
      <w:szCs w:val="20"/>
    </w:rPr>
  </w:style>
  <w:style w:type="character" w:styleId="Appelnotedebasdep">
    <w:name w:val="footnote reference"/>
    <w:basedOn w:val="Policepardfaut"/>
    <w:unhideWhenUsed/>
    <w:rsid w:val="004E75D6"/>
    <w:rPr>
      <w:vertAlign w:val="superscript"/>
    </w:rPr>
  </w:style>
  <w:style w:type="table" w:styleId="Grilledutableau">
    <w:name w:val="Table Grid"/>
    <w:basedOn w:val="TableauNormal"/>
    <w:uiPriority w:val="39"/>
    <w:rsid w:val="00D21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List Paragraph (numbered (a)),References,ReferencesCxSpLast,Paragraphe de liste1,Puces,Lettre d'introduction,Numbered paragraph 1,Resume Title,texte de base,Citation List,Ha,List Paragraph_Table bullets"/>
    <w:basedOn w:val="Normal"/>
    <w:link w:val="ParagraphedelisteCar"/>
    <w:uiPriority w:val="34"/>
    <w:qFormat/>
    <w:rsid w:val="00D7547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37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7977"/>
  </w:style>
  <w:style w:type="paragraph" w:styleId="Pieddepage">
    <w:name w:val="footer"/>
    <w:basedOn w:val="Normal"/>
    <w:link w:val="PieddepageCar"/>
    <w:uiPriority w:val="99"/>
    <w:unhideWhenUsed/>
    <w:rsid w:val="00837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7977"/>
  </w:style>
  <w:style w:type="paragraph" w:styleId="Textedebulles">
    <w:name w:val="Balloon Text"/>
    <w:basedOn w:val="Normal"/>
    <w:link w:val="TextedebullesCar"/>
    <w:uiPriority w:val="99"/>
    <w:semiHidden/>
    <w:unhideWhenUsed/>
    <w:rsid w:val="00EB34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3474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BD1188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C5092F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FB39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B393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B393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B393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B3931"/>
    <w:rPr>
      <w:b/>
      <w:bCs/>
      <w:sz w:val="20"/>
      <w:szCs w:val="20"/>
    </w:rPr>
  </w:style>
  <w:style w:type="paragraph" w:customStyle="1" w:styleId="Text2">
    <w:name w:val="Text 2"/>
    <w:basedOn w:val="Normal"/>
    <w:rsid w:val="00B72500"/>
    <w:pPr>
      <w:tabs>
        <w:tab w:val="left" w:pos="2161"/>
      </w:tabs>
      <w:spacing w:after="240" w:line="240" w:lineRule="auto"/>
      <w:ind w:left="1202"/>
      <w:jc w:val="both"/>
    </w:pPr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ParagraphedelisteCar">
    <w:name w:val="Paragraphe de liste Car"/>
    <w:aliases w:val="List Paragraph (numbered (a)) Car,References Car,ReferencesCxSpLast Car,Paragraphe de liste1 Car,Puces Car,Lettre d'introduction Car,Numbered paragraph 1 Car,Resume Title Car,texte de base Car,Citation List Car,Ha Car"/>
    <w:basedOn w:val="Policepardfaut"/>
    <w:link w:val="Paragraphedeliste"/>
    <w:uiPriority w:val="34"/>
    <w:locked/>
    <w:rsid w:val="00D343EB"/>
  </w:style>
  <w:style w:type="paragraph" w:customStyle="1" w:styleId="ZnakZnak">
    <w:name w:val="Znak Znak"/>
    <w:basedOn w:val="Normal"/>
    <w:next w:val="Normal"/>
    <w:rsid w:val="0009410E"/>
    <w:pPr>
      <w:spacing w:line="240" w:lineRule="exact"/>
    </w:pPr>
    <w:rPr>
      <w:rFonts w:ascii="Tahoma" w:eastAsia="Times New Roman" w:hAnsi="Tahoma" w:cs="Times New Roman"/>
      <w:sz w:val="24"/>
      <w:szCs w:val="20"/>
      <w:lang w:val="en-GB"/>
    </w:rPr>
  </w:style>
  <w:style w:type="paragraph" w:customStyle="1" w:styleId="EXP-Titre2">
    <w:name w:val="EXP - Titre 2"/>
    <w:basedOn w:val="Normal"/>
    <w:link w:val="EXP-Titre2Car"/>
    <w:qFormat/>
    <w:rsid w:val="00E01389"/>
    <w:pPr>
      <w:tabs>
        <w:tab w:val="right" w:leader="dot" w:pos="9923"/>
      </w:tabs>
      <w:spacing w:after="240" w:line="300" w:lineRule="atLeast"/>
    </w:pPr>
    <w:rPr>
      <w:rFonts w:ascii="Arial" w:eastAsia="MS Mincho" w:hAnsi="Arial" w:cs="Times New Roman"/>
      <w:color w:val="FFFFFF"/>
      <w:sz w:val="24"/>
      <w:szCs w:val="24"/>
      <w:shd w:val="clear" w:color="auto" w:fill="68B1E6"/>
      <w:lang w:eastAsia="x-none"/>
    </w:rPr>
  </w:style>
  <w:style w:type="character" w:customStyle="1" w:styleId="EXP-Titre2Car">
    <w:name w:val="EXP - Titre 2 Car"/>
    <w:link w:val="EXP-Titre2"/>
    <w:rsid w:val="00E01389"/>
    <w:rPr>
      <w:rFonts w:ascii="Arial" w:eastAsia="MS Mincho" w:hAnsi="Arial" w:cs="Times New Roman"/>
      <w:color w:val="FFFFFF"/>
      <w:sz w:val="24"/>
      <w:szCs w:val="24"/>
      <w:lang w:eastAsia="x-none"/>
    </w:rPr>
  </w:style>
  <w:style w:type="paragraph" w:customStyle="1" w:styleId="Default">
    <w:name w:val="Default"/>
    <w:rsid w:val="007C0E0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color w:val="000000"/>
      <w:kern w:val="3"/>
      <w:sz w:val="24"/>
      <w:szCs w:val="24"/>
      <w:lang w:eastAsia="zh-CN" w:bidi="hi-IN"/>
    </w:rPr>
  </w:style>
  <w:style w:type="numbering" w:customStyle="1" w:styleId="WWNum1">
    <w:name w:val="WWNum1"/>
    <w:basedOn w:val="Aucuneliste"/>
    <w:rsid w:val="007C0E08"/>
    <w:pPr>
      <w:numPr>
        <w:numId w:val="21"/>
      </w:numPr>
    </w:pPr>
  </w:style>
  <w:style w:type="paragraph" w:styleId="Sansinterligne">
    <w:name w:val="No Spacing"/>
    <w:uiPriority w:val="1"/>
    <w:qFormat/>
    <w:rsid w:val="007C0E0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7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DED454B4-96DC-4011-B585-5F684747B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1842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 TARDIF</dc:creator>
  <cp:keywords/>
  <dc:description/>
  <cp:lastModifiedBy>Amélie DRILLET</cp:lastModifiedBy>
  <cp:revision>6</cp:revision>
  <cp:lastPrinted>2018-04-16T08:50:00Z</cp:lastPrinted>
  <dcterms:created xsi:type="dcterms:W3CDTF">2021-07-06T09:18:00Z</dcterms:created>
  <dcterms:modified xsi:type="dcterms:W3CDTF">2021-07-21T15:44:00Z</dcterms:modified>
</cp:coreProperties>
</file>