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EB5" w14:textId="63DBEEA9" w:rsidR="00C4675D" w:rsidRPr="0077044F" w:rsidRDefault="00927754" w:rsidP="00F710E5">
      <w:pPr>
        <w:spacing w:after="120" w:line="288" w:lineRule="auto"/>
        <w:ind w:left="5245" w:firstLine="425"/>
        <w:jc w:val="righ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Gros Morne</w:t>
      </w:r>
      <w:r w:rsidR="00F45049" w:rsidRPr="0077044F">
        <w:rPr>
          <w:rFonts w:ascii="Times New Roman" w:hAnsi="Times New Roman"/>
          <w:sz w:val="24"/>
          <w:lang w:val="fr-FR"/>
        </w:rPr>
        <w:t>, le</w:t>
      </w:r>
      <w:r w:rsidR="00330B75">
        <w:rPr>
          <w:rFonts w:ascii="Times New Roman" w:hAnsi="Times New Roman"/>
          <w:sz w:val="24"/>
          <w:lang w:val="fr-FR"/>
        </w:rPr>
        <w:t xml:space="preserve"> </w:t>
      </w:r>
      <w:r w:rsidR="007C5DCE">
        <w:rPr>
          <w:rFonts w:ascii="Times New Roman" w:hAnsi="Times New Roman"/>
          <w:sz w:val="24"/>
          <w:lang w:val="fr-FR"/>
        </w:rPr>
        <w:t>22</w:t>
      </w:r>
      <w:r w:rsidR="00D1347F">
        <w:rPr>
          <w:rFonts w:ascii="Times New Roman" w:hAnsi="Times New Roman"/>
          <w:sz w:val="24"/>
          <w:lang w:val="fr-FR"/>
        </w:rPr>
        <w:t xml:space="preserve"> juillet 2021</w:t>
      </w:r>
    </w:p>
    <w:p w14:paraId="66FD9D71" w14:textId="5A00A14E" w:rsidR="00C16FC4" w:rsidRPr="00C16FC4" w:rsidRDefault="00C16FC4" w:rsidP="00A76335">
      <w:pPr>
        <w:spacing w:after="120" w:line="288" w:lineRule="auto"/>
        <w:rPr>
          <w:rFonts w:ascii="Times New Roman" w:hAnsi="Times New Roman"/>
          <w:i/>
          <w:sz w:val="24"/>
          <w:lang w:val="fr-FR"/>
        </w:rPr>
      </w:pPr>
      <w:r w:rsidRPr="00D05457">
        <w:rPr>
          <w:rFonts w:ascii="Times New Roman" w:hAnsi="Times New Roman"/>
          <w:b/>
          <w:i/>
          <w:sz w:val="24"/>
          <w:u w:val="single"/>
          <w:lang w:val="fr-FR"/>
        </w:rPr>
        <w:t>Réf</w:t>
      </w:r>
      <w:r w:rsidR="00F26693" w:rsidRPr="00D05457">
        <w:rPr>
          <w:rFonts w:ascii="Times New Roman" w:hAnsi="Times New Roman"/>
          <w:b/>
          <w:i/>
          <w:sz w:val="24"/>
          <w:u w:val="single"/>
          <w:lang w:val="fr-FR"/>
        </w:rPr>
        <w:t xml:space="preserve"> </w:t>
      </w:r>
      <w:proofErr w:type="spellStart"/>
      <w:r w:rsidR="00F26693" w:rsidRPr="00D05457">
        <w:rPr>
          <w:rFonts w:ascii="Times New Roman" w:hAnsi="Times New Roman"/>
          <w:b/>
          <w:i/>
          <w:sz w:val="24"/>
          <w:u w:val="single"/>
          <w:lang w:val="fr-FR"/>
        </w:rPr>
        <w:t>int</w:t>
      </w:r>
      <w:proofErr w:type="spellEnd"/>
      <w:r w:rsidR="00A81D87" w:rsidRPr="00D05457">
        <w:rPr>
          <w:rFonts w:ascii="Times New Roman" w:hAnsi="Times New Roman"/>
          <w:b/>
          <w:i/>
          <w:sz w:val="24"/>
          <w:u w:val="single"/>
          <w:lang w:val="fr-FR"/>
        </w:rPr>
        <w:t> :</w:t>
      </w:r>
      <w:r w:rsidR="00A81D87">
        <w:rPr>
          <w:rFonts w:ascii="Times New Roman" w:hAnsi="Times New Roman"/>
          <w:i/>
          <w:sz w:val="24"/>
          <w:lang w:val="fr-FR"/>
        </w:rPr>
        <w:t xml:space="preserve"> </w:t>
      </w:r>
      <w:r w:rsidR="00D05457">
        <w:rPr>
          <w:rFonts w:ascii="Times New Roman" w:hAnsi="Times New Roman"/>
          <w:i/>
          <w:sz w:val="24"/>
          <w:lang w:val="fr-FR"/>
        </w:rPr>
        <w:t>Aménagements d’une</w:t>
      </w:r>
      <w:r w:rsidR="008A40F9">
        <w:rPr>
          <w:rFonts w:ascii="Times New Roman" w:hAnsi="Times New Roman"/>
          <w:i/>
          <w:sz w:val="24"/>
          <w:lang w:val="fr-FR"/>
        </w:rPr>
        <w:t xml:space="preserve"> (1) unité</w:t>
      </w:r>
      <w:r w:rsidR="00D05457">
        <w:rPr>
          <w:rFonts w:ascii="Times New Roman" w:hAnsi="Times New Roman"/>
          <w:i/>
          <w:sz w:val="24"/>
          <w:lang w:val="fr-FR"/>
        </w:rPr>
        <w:t xml:space="preserve"> de stockage/</w:t>
      </w:r>
      <w:r w:rsidR="00D1347F">
        <w:rPr>
          <w:rFonts w:ascii="Times New Roman" w:hAnsi="Times New Roman"/>
          <w:i/>
          <w:sz w:val="24"/>
          <w:lang w:val="fr-FR"/>
        </w:rPr>
        <w:t>transformation</w:t>
      </w:r>
      <w:r w:rsidR="005D4BB4">
        <w:rPr>
          <w:rFonts w:ascii="Times New Roman" w:hAnsi="Times New Roman"/>
          <w:i/>
          <w:sz w:val="24"/>
          <w:lang w:val="fr-FR"/>
        </w:rPr>
        <w:t xml:space="preserve"> d’arachide</w:t>
      </w:r>
      <w:r w:rsidR="00D05457">
        <w:rPr>
          <w:rFonts w:ascii="Times New Roman" w:hAnsi="Times New Roman"/>
          <w:i/>
          <w:sz w:val="24"/>
          <w:lang w:val="fr-FR"/>
        </w:rPr>
        <w:t xml:space="preserve"> </w:t>
      </w:r>
      <w:r w:rsidR="008A40F9">
        <w:rPr>
          <w:rFonts w:ascii="Times New Roman" w:hAnsi="Times New Roman"/>
          <w:i/>
          <w:sz w:val="24"/>
          <w:lang w:val="fr-FR"/>
        </w:rPr>
        <w:t>et</w:t>
      </w:r>
      <w:r w:rsidR="00D05457">
        <w:rPr>
          <w:rFonts w:ascii="Times New Roman" w:hAnsi="Times New Roman"/>
          <w:i/>
          <w:sz w:val="24"/>
          <w:lang w:val="fr-FR"/>
        </w:rPr>
        <w:t xml:space="preserve"> trois (3) unités de transformation de manioc</w:t>
      </w:r>
      <w:r w:rsidR="0072282C">
        <w:rPr>
          <w:rFonts w:ascii="Times New Roman" w:hAnsi="Times New Roman"/>
          <w:i/>
          <w:sz w:val="24"/>
          <w:lang w:val="fr-FR"/>
        </w:rPr>
        <w:t>/</w:t>
      </w:r>
      <w:proofErr w:type="spellStart"/>
      <w:r w:rsidR="00D05457">
        <w:rPr>
          <w:rFonts w:ascii="Times New Roman" w:hAnsi="Times New Roman"/>
          <w:i/>
          <w:sz w:val="24"/>
          <w:lang w:val="fr-FR"/>
        </w:rPr>
        <w:t>Pasan-Apros</w:t>
      </w:r>
      <w:proofErr w:type="spellEnd"/>
      <w:r w:rsidR="00D05457">
        <w:rPr>
          <w:rFonts w:ascii="Times New Roman" w:hAnsi="Times New Roman"/>
          <w:i/>
          <w:sz w:val="24"/>
          <w:lang w:val="fr-FR"/>
        </w:rPr>
        <w:t>/</w:t>
      </w:r>
      <w:r w:rsidR="00A7339D">
        <w:rPr>
          <w:rFonts w:ascii="Times New Roman" w:hAnsi="Times New Roman"/>
          <w:i/>
          <w:sz w:val="24"/>
          <w:lang w:val="fr-FR"/>
        </w:rPr>
        <w:t>AMI</w:t>
      </w:r>
      <w:r w:rsidR="003217DC">
        <w:rPr>
          <w:rFonts w:ascii="Times New Roman" w:hAnsi="Times New Roman"/>
          <w:i/>
          <w:sz w:val="24"/>
          <w:lang w:val="fr-FR"/>
        </w:rPr>
        <w:t xml:space="preserve"> </w:t>
      </w:r>
    </w:p>
    <w:p w14:paraId="0B7A81E6" w14:textId="77777777" w:rsidR="00D05457" w:rsidRDefault="00D05457" w:rsidP="00A76335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b/>
          <w:sz w:val="24"/>
          <w:u w:val="single"/>
          <w:lang w:val="fr-FR"/>
        </w:rPr>
      </w:pPr>
    </w:p>
    <w:p w14:paraId="2B4E695D" w14:textId="793D8EBE" w:rsidR="009D46E0" w:rsidRDefault="00C16FC4" w:rsidP="00A76335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b/>
          <w:sz w:val="24"/>
          <w:lang w:val="fr-FR"/>
        </w:rPr>
      </w:pPr>
      <w:r w:rsidRPr="009B5CD3">
        <w:rPr>
          <w:rFonts w:ascii="Times New Roman" w:hAnsi="Times New Roman"/>
          <w:b/>
          <w:sz w:val="24"/>
          <w:u w:val="single"/>
          <w:lang w:val="fr-FR"/>
        </w:rPr>
        <w:t>Objet</w:t>
      </w:r>
      <w:r w:rsidR="009B5CD3" w:rsidRPr="009B5CD3">
        <w:rPr>
          <w:rFonts w:ascii="Times New Roman" w:hAnsi="Times New Roman"/>
          <w:b/>
          <w:sz w:val="24"/>
          <w:lang w:val="fr-FR"/>
        </w:rPr>
        <w:t xml:space="preserve"> </w:t>
      </w:r>
      <w:r w:rsidR="0077044F" w:rsidRPr="009B5CD3">
        <w:rPr>
          <w:rFonts w:ascii="Times New Roman" w:hAnsi="Times New Roman"/>
          <w:b/>
          <w:sz w:val="24"/>
          <w:lang w:val="fr-FR"/>
        </w:rPr>
        <w:t>:</w:t>
      </w:r>
      <w:r w:rsidR="0077044F">
        <w:rPr>
          <w:rFonts w:ascii="Times New Roman" w:hAnsi="Times New Roman"/>
          <w:b/>
          <w:sz w:val="24"/>
          <w:lang w:val="fr-FR"/>
        </w:rPr>
        <w:t xml:space="preserve"> </w:t>
      </w:r>
      <w:r w:rsidR="00C92230" w:rsidRPr="00D05457">
        <w:rPr>
          <w:rFonts w:ascii="Times New Roman" w:hAnsi="Times New Roman"/>
          <w:b/>
          <w:i/>
          <w:sz w:val="24"/>
          <w:lang w:val="fr-FR"/>
        </w:rPr>
        <w:t xml:space="preserve">Appel à Manifestation d’Intérêt pour </w:t>
      </w:r>
      <w:r w:rsidR="0007267E" w:rsidRPr="00D05457">
        <w:rPr>
          <w:rFonts w:ascii="Times New Roman" w:hAnsi="Times New Roman"/>
          <w:b/>
          <w:i/>
          <w:sz w:val="24"/>
          <w:lang w:val="fr-FR"/>
        </w:rPr>
        <w:t xml:space="preserve">l’établissement d’une liste restreinte d’entités pouvant réaliser </w:t>
      </w:r>
      <w:r w:rsidR="00B92381" w:rsidRPr="00B92381">
        <w:rPr>
          <w:rFonts w:ascii="Times New Roman" w:hAnsi="Times New Roman"/>
          <w:b/>
          <w:sz w:val="24"/>
          <w:lang w:val="fr-FR"/>
        </w:rPr>
        <w:t xml:space="preserve">des travaux </w:t>
      </w:r>
      <w:r w:rsidR="008A40F9">
        <w:rPr>
          <w:rFonts w:ascii="Times New Roman" w:hAnsi="Times New Roman"/>
          <w:b/>
          <w:sz w:val="24"/>
          <w:lang w:val="fr-FR"/>
        </w:rPr>
        <w:t xml:space="preserve">d’aménagement au </w:t>
      </w:r>
      <w:r w:rsidR="00B92381" w:rsidRPr="00B92381">
        <w:rPr>
          <w:rFonts w:ascii="Times New Roman" w:hAnsi="Times New Roman"/>
          <w:b/>
          <w:sz w:val="24"/>
          <w:lang w:val="fr-FR"/>
        </w:rPr>
        <w:t>niveau d’une</w:t>
      </w:r>
      <w:r w:rsidR="008A40F9">
        <w:rPr>
          <w:rFonts w:ascii="Times New Roman" w:hAnsi="Times New Roman"/>
          <w:b/>
          <w:sz w:val="24"/>
          <w:lang w:val="fr-FR"/>
        </w:rPr>
        <w:t xml:space="preserve"> (1)</w:t>
      </w:r>
      <w:r w:rsidR="00B92381" w:rsidRPr="00B92381">
        <w:rPr>
          <w:rFonts w:ascii="Times New Roman" w:hAnsi="Times New Roman"/>
          <w:b/>
          <w:sz w:val="24"/>
          <w:lang w:val="fr-FR"/>
        </w:rPr>
        <w:t xml:space="preserve"> unité de stockage/transformation d’arachide et trois (3) unités de transformation de manioc</w:t>
      </w:r>
      <w:r w:rsidR="008A40F9">
        <w:rPr>
          <w:rFonts w:ascii="Times New Roman" w:hAnsi="Times New Roman"/>
          <w:b/>
          <w:sz w:val="24"/>
          <w:lang w:val="fr-FR"/>
        </w:rPr>
        <w:t xml:space="preserve"> </w:t>
      </w:r>
      <w:r w:rsidR="00181AC9">
        <w:rPr>
          <w:rFonts w:ascii="Times New Roman" w:hAnsi="Times New Roman"/>
          <w:b/>
          <w:sz w:val="24"/>
          <w:lang w:val="fr-FR"/>
        </w:rPr>
        <w:t>situés</w:t>
      </w:r>
      <w:r w:rsidR="00181AC9" w:rsidRPr="00181AC9">
        <w:rPr>
          <w:rFonts w:ascii="Times New Roman" w:hAnsi="Times New Roman"/>
          <w:b/>
          <w:sz w:val="24"/>
          <w:lang w:val="fr-FR"/>
        </w:rPr>
        <w:t xml:space="preserve"> au</w:t>
      </w:r>
      <w:r w:rsidR="00B92381" w:rsidRPr="00181AC9">
        <w:rPr>
          <w:rFonts w:ascii="Times New Roman" w:hAnsi="Times New Roman"/>
          <w:b/>
          <w:sz w:val="24"/>
          <w:lang w:val="fr-FR"/>
        </w:rPr>
        <w:t xml:space="preserve"> niveau de</w:t>
      </w:r>
      <w:r w:rsidR="0072282C" w:rsidRPr="00181AC9">
        <w:rPr>
          <w:rFonts w:ascii="Times New Roman" w:hAnsi="Times New Roman"/>
          <w:b/>
          <w:sz w:val="24"/>
          <w:lang w:val="fr-FR"/>
        </w:rPr>
        <w:t xml:space="preserve"> la commune de Gros Morne/Haïti</w:t>
      </w:r>
      <w:r w:rsidR="008A40F9" w:rsidRPr="00181AC9">
        <w:rPr>
          <w:rFonts w:ascii="Times New Roman" w:hAnsi="Times New Roman"/>
          <w:b/>
          <w:sz w:val="24"/>
          <w:lang w:val="fr-FR"/>
        </w:rPr>
        <w:t>.</w:t>
      </w:r>
    </w:p>
    <w:p w14:paraId="2942B0A4" w14:textId="77777777" w:rsidR="00B92381" w:rsidRDefault="00B92381" w:rsidP="00A76335">
      <w:pPr>
        <w:spacing w:after="120" w:line="288" w:lineRule="auto"/>
        <w:rPr>
          <w:rFonts w:ascii="Times New Roman" w:hAnsi="Times New Roman"/>
          <w:sz w:val="24"/>
          <w:lang w:val="fr-FR"/>
        </w:rPr>
      </w:pPr>
    </w:p>
    <w:p w14:paraId="1E7BD1E0" w14:textId="44526D94" w:rsidR="001616BE" w:rsidRDefault="00C2206E" w:rsidP="00A76335">
      <w:pPr>
        <w:spacing w:after="120" w:line="288" w:lineRule="auto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Madame, </w:t>
      </w:r>
      <w:r w:rsidR="00284856">
        <w:rPr>
          <w:rFonts w:ascii="Times New Roman" w:hAnsi="Times New Roman"/>
          <w:sz w:val="24"/>
          <w:lang w:val="fr-FR"/>
        </w:rPr>
        <w:t>Monsieur</w:t>
      </w:r>
      <w:r w:rsidR="001616BE" w:rsidRPr="001616BE">
        <w:rPr>
          <w:rFonts w:ascii="Times New Roman" w:hAnsi="Times New Roman"/>
          <w:sz w:val="24"/>
          <w:lang w:val="fr-FR"/>
        </w:rPr>
        <w:t>,</w:t>
      </w:r>
    </w:p>
    <w:p w14:paraId="41224AF4" w14:textId="77777777" w:rsidR="00181AC9" w:rsidRDefault="00055665" w:rsidP="00B51F67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055665">
        <w:rPr>
          <w:rFonts w:ascii="Times New Roman" w:hAnsi="Times New Roman"/>
          <w:sz w:val="24"/>
          <w:lang w:val="fr-FR"/>
        </w:rPr>
        <w:t>Dans le cadre</w:t>
      </w:r>
      <w:r w:rsidR="00B92381">
        <w:rPr>
          <w:rFonts w:ascii="Times New Roman" w:hAnsi="Times New Roman"/>
          <w:sz w:val="24"/>
          <w:lang w:val="fr-FR"/>
        </w:rPr>
        <w:t xml:space="preserve"> de la mise en œuvre</w:t>
      </w:r>
      <w:r w:rsidRPr="00055665">
        <w:rPr>
          <w:rFonts w:ascii="Times New Roman" w:hAnsi="Times New Roman"/>
          <w:sz w:val="24"/>
          <w:lang w:val="fr-FR"/>
        </w:rPr>
        <w:t xml:space="preserve"> </w:t>
      </w:r>
      <w:r w:rsidR="008E2F1E">
        <w:rPr>
          <w:rFonts w:ascii="Times New Roman" w:hAnsi="Times New Roman"/>
          <w:sz w:val="24"/>
          <w:lang w:val="fr-FR"/>
        </w:rPr>
        <w:t>du p</w:t>
      </w:r>
      <w:r w:rsidRPr="00055665">
        <w:rPr>
          <w:rFonts w:ascii="Times New Roman" w:hAnsi="Times New Roman"/>
          <w:sz w:val="24"/>
          <w:lang w:val="fr-FR"/>
        </w:rPr>
        <w:t xml:space="preserve">rojet « </w:t>
      </w:r>
      <w:proofErr w:type="spellStart"/>
      <w:r w:rsidR="0072282C">
        <w:rPr>
          <w:rFonts w:ascii="Times New Roman" w:hAnsi="Times New Roman"/>
          <w:sz w:val="24"/>
          <w:lang w:val="fr-FR"/>
        </w:rPr>
        <w:t>Pasan-Apros</w:t>
      </w:r>
      <w:proofErr w:type="spellEnd"/>
      <w:r w:rsidR="0072282C">
        <w:rPr>
          <w:rFonts w:ascii="Times New Roman" w:hAnsi="Times New Roman"/>
          <w:sz w:val="24"/>
          <w:lang w:val="fr-FR"/>
        </w:rPr>
        <w:t xml:space="preserve"> </w:t>
      </w:r>
      <w:r w:rsidRPr="00055665">
        <w:rPr>
          <w:rFonts w:ascii="Times New Roman" w:hAnsi="Times New Roman"/>
          <w:sz w:val="24"/>
          <w:lang w:val="fr-FR"/>
        </w:rPr>
        <w:t>»</w:t>
      </w:r>
      <w:r w:rsidR="00F87243">
        <w:rPr>
          <w:rFonts w:ascii="Times New Roman" w:hAnsi="Times New Roman"/>
          <w:sz w:val="24"/>
          <w:lang w:val="fr-FR"/>
        </w:rPr>
        <w:t xml:space="preserve"> </w:t>
      </w:r>
      <w:r w:rsidR="00E515A9">
        <w:rPr>
          <w:rFonts w:ascii="Times New Roman" w:hAnsi="Times New Roman"/>
          <w:sz w:val="24"/>
          <w:lang w:val="fr-FR"/>
        </w:rPr>
        <w:t xml:space="preserve">coordonné par </w:t>
      </w:r>
      <w:r w:rsidR="00F87243">
        <w:rPr>
          <w:rFonts w:ascii="Times New Roman" w:hAnsi="Times New Roman"/>
          <w:sz w:val="24"/>
          <w:lang w:val="fr-FR"/>
        </w:rPr>
        <w:t>le Gret</w:t>
      </w:r>
      <w:r w:rsidRPr="00055665">
        <w:rPr>
          <w:rFonts w:ascii="Times New Roman" w:hAnsi="Times New Roman"/>
          <w:sz w:val="24"/>
          <w:lang w:val="fr-FR"/>
        </w:rPr>
        <w:t>,</w:t>
      </w:r>
      <w:r w:rsidR="002D5D91">
        <w:rPr>
          <w:rFonts w:ascii="Times New Roman" w:hAnsi="Times New Roman"/>
          <w:sz w:val="24"/>
          <w:lang w:val="fr-FR"/>
        </w:rPr>
        <w:t xml:space="preserve"> </w:t>
      </w:r>
      <w:r w:rsidR="00316248">
        <w:rPr>
          <w:rFonts w:ascii="Times New Roman" w:hAnsi="Times New Roman"/>
          <w:sz w:val="24"/>
          <w:lang w:val="fr-FR"/>
        </w:rPr>
        <w:t xml:space="preserve">il est prévu de réaliser </w:t>
      </w:r>
      <w:r w:rsidR="002D5D91" w:rsidRPr="00B92381">
        <w:rPr>
          <w:rFonts w:ascii="Times New Roman" w:hAnsi="Times New Roman"/>
          <w:b/>
          <w:sz w:val="24"/>
          <w:lang w:val="fr-FR"/>
        </w:rPr>
        <w:t xml:space="preserve">des travaux </w:t>
      </w:r>
      <w:r w:rsidR="00B92381" w:rsidRPr="00B92381">
        <w:rPr>
          <w:rFonts w:ascii="Times New Roman" w:hAnsi="Times New Roman"/>
          <w:b/>
          <w:sz w:val="24"/>
          <w:lang w:val="fr-FR"/>
        </w:rPr>
        <w:t>d’aménagement au niveau d’une</w:t>
      </w:r>
      <w:r w:rsidR="00D1347F" w:rsidRPr="00B92381">
        <w:rPr>
          <w:rFonts w:ascii="Times New Roman" w:hAnsi="Times New Roman"/>
          <w:b/>
          <w:sz w:val="24"/>
          <w:lang w:val="fr-FR"/>
        </w:rPr>
        <w:t xml:space="preserve"> unité de stockage/transformation </w:t>
      </w:r>
      <w:r w:rsidR="00AB2D5F" w:rsidRPr="00B92381">
        <w:rPr>
          <w:rFonts w:ascii="Times New Roman" w:hAnsi="Times New Roman"/>
          <w:b/>
          <w:sz w:val="24"/>
          <w:lang w:val="fr-FR"/>
        </w:rPr>
        <w:t>d’arachide</w:t>
      </w:r>
      <w:r w:rsidR="00B92381" w:rsidRPr="00B92381">
        <w:rPr>
          <w:rFonts w:ascii="Times New Roman" w:hAnsi="Times New Roman"/>
          <w:b/>
          <w:sz w:val="24"/>
          <w:lang w:val="fr-FR"/>
        </w:rPr>
        <w:t xml:space="preserve"> et trois (3) unités de transformation de manioc</w:t>
      </w:r>
      <w:r w:rsidR="00B92381">
        <w:rPr>
          <w:rFonts w:ascii="Times New Roman" w:hAnsi="Times New Roman"/>
          <w:sz w:val="24"/>
          <w:lang w:val="fr-FR"/>
        </w:rPr>
        <w:t xml:space="preserve"> situés respectivement au niveau de la 4</w:t>
      </w:r>
      <w:r w:rsidR="00B92381" w:rsidRPr="00B51F67">
        <w:rPr>
          <w:rFonts w:ascii="Times New Roman" w:hAnsi="Times New Roman"/>
          <w:sz w:val="24"/>
          <w:vertAlign w:val="superscript"/>
          <w:lang w:val="fr-FR"/>
        </w:rPr>
        <w:t>ème</w:t>
      </w:r>
      <w:r w:rsidR="00B92381">
        <w:rPr>
          <w:rFonts w:ascii="Times New Roman" w:hAnsi="Times New Roman"/>
          <w:sz w:val="24"/>
          <w:lang w:val="fr-FR"/>
        </w:rPr>
        <w:t xml:space="preserve"> et 6</w:t>
      </w:r>
      <w:r w:rsidR="00B92381" w:rsidRPr="00B92381">
        <w:rPr>
          <w:rFonts w:ascii="Times New Roman" w:hAnsi="Times New Roman"/>
          <w:sz w:val="24"/>
          <w:vertAlign w:val="superscript"/>
          <w:lang w:val="fr-FR"/>
        </w:rPr>
        <w:t xml:space="preserve"> </w:t>
      </w:r>
      <w:proofErr w:type="spellStart"/>
      <w:r w:rsidR="00B92381" w:rsidRPr="00B51F67">
        <w:rPr>
          <w:rFonts w:ascii="Times New Roman" w:hAnsi="Times New Roman"/>
          <w:sz w:val="24"/>
          <w:vertAlign w:val="superscript"/>
          <w:lang w:val="fr-FR"/>
        </w:rPr>
        <w:t>ème</w:t>
      </w:r>
      <w:proofErr w:type="spellEnd"/>
      <w:r w:rsidR="00B92381">
        <w:rPr>
          <w:rFonts w:ascii="Times New Roman" w:hAnsi="Times New Roman"/>
          <w:sz w:val="24"/>
          <w:lang w:val="fr-FR"/>
        </w:rPr>
        <w:t xml:space="preserve"> </w:t>
      </w:r>
      <w:r w:rsidR="00B51F67">
        <w:rPr>
          <w:rFonts w:ascii="Times New Roman" w:hAnsi="Times New Roman"/>
          <w:sz w:val="24"/>
          <w:lang w:val="fr-FR"/>
        </w:rPr>
        <w:t xml:space="preserve">section communale de Gros-Morne. </w:t>
      </w:r>
    </w:p>
    <w:p w14:paraId="4B1C18B2" w14:textId="450738FE" w:rsidR="00181AC9" w:rsidRPr="00181AC9" w:rsidRDefault="00181AC9" w:rsidP="00B51F67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181AC9">
        <w:rPr>
          <w:rFonts w:ascii="Times New Roman" w:hAnsi="Times New Roman"/>
          <w:b/>
          <w:i/>
          <w:sz w:val="24"/>
          <w:u w:val="single"/>
          <w:lang w:val="fr-FR"/>
        </w:rPr>
        <w:t>L’unité de stockage/transformation d’arachide</w:t>
      </w:r>
    </w:p>
    <w:p w14:paraId="52846A7F" w14:textId="0CDBAB42" w:rsidR="00A76335" w:rsidRDefault="009A78A4" w:rsidP="00B92381">
      <w:pPr>
        <w:pStyle w:val="ListParagraph"/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L’unité de stockage/transformation d’arachide n’</w:t>
      </w:r>
      <w:r w:rsidR="00A76335" w:rsidRPr="00B92381">
        <w:rPr>
          <w:rFonts w:ascii="Times New Roman" w:hAnsi="Times New Roman"/>
          <w:sz w:val="24"/>
          <w:lang w:val="fr-FR"/>
        </w:rPr>
        <w:t>existe</w:t>
      </w:r>
      <w:r w:rsidRPr="00B92381">
        <w:rPr>
          <w:rFonts w:ascii="Times New Roman" w:hAnsi="Times New Roman"/>
          <w:sz w:val="24"/>
          <w:lang w:val="fr-FR"/>
        </w:rPr>
        <w:t xml:space="preserve"> pas encore. L’aménagement consiste à la construction de cette unité avec l’ensemble des boiseries nécessaires à son bon fonctionnement tel qu’il sera précisé dans le document d’appel d’offre qui sera partagé. </w:t>
      </w:r>
    </w:p>
    <w:p w14:paraId="6245B148" w14:textId="5229AED6" w:rsidR="00B92381" w:rsidRDefault="00B92381" w:rsidP="00B92381">
      <w:pPr>
        <w:pStyle w:val="ListParagraph"/>
        <w:spacing w:after="120" w:line="288" w:lineRule="auto"/>
        <w:ind w:left="360"/>
        <w:jc w:val="both"/>
        <w:rPr>
          <w:rFonts w:ascii="Times New Roman" w:hAnsi="Times New Roman"/>
          <w:sz w:val="24"/>
          <w:lang w:val="fr-FR"/>
        </w:rPr>
      </w:pPr>
    </w:p>
    <w:p w14:paraId="24253477" w14:textId="34462063" w:rsidR="00181AC9" w:rsidRPr="00181AC9" w:rsidRDefault="00181AC9" w:rsidP="00181AC9">
      <w:pPr>
        <w:pStyle w:val="ListParagraph"/>
        <w:spacing w:after="120" w:line="288" w:lineRule="auto"/>
        <w:ind w:left="0"/>
        <w:jc w:val="both"/>
        <w:rPr>
          <w:rFonts w:ascii="Times New Roman" w:hAnsi="Times New Roman"/>
          <w:b/>
          <w:i/>
          <w:sz w:val="24"/>
          <w:u w:val="single"/>
          <w:lang w:val="fr-FR"/>
        </w:rPr>
      </w:pPr>
      <w:r>
        <w:rPr>
          <w:rFonts w:ascii="Times New Roman" w:hAnsi="Times New Roman"/>
          <w:b/>
          <w:i/>
          <w:sz w:val="24"/>
          <w:u w:val="single"/>
          <w:lang w:val="fr-FR"/>
        </w:rPr>
        <w:t>T</w:t>
      </w:r>
      <w:r w:rsidRPr="00181AC9">
        <w:rPr>
          <w:rFonts w:ascii="Times New Roman" w:hAnsi="Times New Roman"/>
          <w:b/>
          <w:i/>
          <w:sz w:val="24"/>
          <w:u w:val="single"/>
          <w:lang w:val="fr-FR"/>
        </w:rPr>
        <w:t>rois (3) unités de transformation de manioc</w:t>
      </w:r>
    </w:p>
    <w:p w14:paraId="21D5E780" w14:textId="21CB7C24" w:rsidR="00B92381" w:rsidRDefault="00B92381" w:rsidP="00B92381">
      <w:pPr>
        <w:pStyle w:val="ListParagraph"/>
        <w:numPr>
          <w:ilvl w:val="0"/>
          <w:numId w:val="7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 xml:space="preserve">Les trois </w:t>
      </w:r>
      <w:r w:rsidR="00181AC9">
        <w:rPr>
          <w:rFonts w:ascii="Times New Roman" w:hAnsi="Times New Roman"/>
          <w:sz w:val="24"/>
          <w:lang w:val="fr-FR"/>
        </w:rPr>
        <w:t xml:space="preserve">(3) </w:t>
      </w:r>
      <w:r w:rsidRPr="00B92381">
        <w:rPr>
          <w:rFonts w:ascii="Times New Roman" w:hAnsi="Times New Roman"/>
          <w:sz w:val="24"/>
          <w:lang w:val="fr-FR"/>
        </w:rPr>
        <w:t>unités de transformation de manioc existent déjà, mais nécessitent des travaux d’aménagement pour assurer leur pleine opérationnalité et cela dans le respect des règles</w:t>
      </w:r>
      <w:r>
        <w:rPr>
          <w:rFonts w:ascii="Times New Roman" w:hAnsi="Times New Roman"/>
          <w:sz w:val="24"/>
          <w:lang w:val="fr-FR"/>
        </w:rPr>
        <w:t xml:space="preserve"> de b</w:t>
      </w:r>
      <w:r w:rsidR="008A40F9">
        <w:rPr>
          <w:rFonts w:ascii="Times New Roman" w:hAnsi="Times New Roman"/>
          <w:sz w:val="24"/>
          <w:lang w:val="fr-FR"/>
        </w:rPr>
        <w:t>o</w:t>
      </w:r>
      <w:r w:rsidRPr="00B92381">
        <w:rPr>
          <w:rFonts w:ascii="Times New Roman" w:hAnsi="Times New Roman"/>
          <w:sz w:val="24"/>
          <w:lang w:val="fr-FR"/>
        </w:rPr>
        <w:t xml:space="preserve">nnes pratique de transformation. </w:t>
      </w:r>
    </w:p>
    <w:p w14:paraId="261ECDE0" w14:textId="77777777" w:rsidR="00B92381" w:rsidRPr="00B92381" w:rsidRDefault="00B92381" w:rsidP="00B92381">
      <w:pPr>
        <w:pStyle w:val="ListParagraph"/>
        <w:rPr>
          <w:rFonts w:ascii="Times New Roman" w:hAnsi="Times New Roman"/>
          <w:sz w:val="24"/>
          <w:lang w:val="fr-FR"/>
        </w:rPr>
      </w:pPr>
    </w:p>
    <w:p w14:paraId="42971D35" w14:textId="2EE80C32" w:rsidR="00B92381" w:rsidRPr="00E36F99" w:rsidRDefault="00E36F99" w:rsidP="00E36F99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</w:t>
      </w:r>
      <w:r w:rsidR="00B92381" w:rsidRPr="00E36F99">
        <w:rPr>
          <w:rFonts w:ascii="Times New Roman" w:hAnsi="Times New Roman"/>
          <w:sz w:val="24"/>
          <w:lang w:val="fr-FR"/>
        </w:rPr>
        <w:t xml:space="preserve">lus précisément, les aménagements consisteront entre autres : </w:t>
      </w:r>
    </w:p>
    <w:p w14:paraId="3A484F99" w14:textId="77777777" w:rsidR="00B92381" w:rsidRP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La construction ou extension d’une salle de grattage de manioc contenant des bassins de lavage ;</w:t>
      </w:r>
    </w:p>
    <w:p w14:paraId="03227627" w14:textId="41F6AEA0" w:rsidR="00B92381" w:rsidRP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La réalisation des travaux de finition (crépissage/enduisage) dans les mu</w:t>
      </w:r>
      <w:r w:rsidR="000A2F2C">
        <w:rPr>
          <w:rFonts w:ascii="Times New Roman" w:hAnsi="Times New Roman"/>
          <w:sz w:val="24"/>
          <w:lang w:val="fr-FR"/>
        </w:rPr>
        <w:t>r</w:t>
      </w:r>
      <w:r w:rsidRPr="00B92381">
        <w:rPr>
          <w:rFonts w:ascii="Times New Roman" w:hAnsi="Times New Roman"/>
          <w:sz w:val="24"/>
          <w:lang w:val="fr-FR"/>
        </w:rPr>
        <w:t>s, finalisation de la dalle de paquet) et des travaux de boiserie ;</w:t>
      </w:r>
    </w:p>
    <w:p w14:paraId="5C1B7A47" w14:textId="77777777" w:rsidR="00B92381" w:rsidRP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La réalisation d’un grillage sur les murs pour protéger l’enceinte contre l’intrusion d’animaux et l’acquisition et montage de porte pour l’enceinte de l’unité ;</w:t>
      </w:r>
    </w:p>
    <w:p w14:paraId="252ED3E8" w14:textId="77777777" w:rsidR="00B92381" w:rsidRP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Des travaux d’aménagement dans le contour de l’unité ;</w:t>
      </w:r>
    </w:p>
    <w:p w14:paraId="10843B28" w14:textId="5F20F682" w:rsid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Le placement des platines de cuisson ;</w:t>
      </w:r>
    </w:p>
    <w:p w14:paraId="3BDE3922" w14:textId="77777777" w:rsidR="00B92381" w:rsidRPr="00B92381" w:rsidRDefault="00B92381" w:rsidP="00B92381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B92381">
        <w:rPr>
          <w:rFonts w:ascii="Times New Roman" w:hAnsi="Times New Roman"/>
          <w:sz w:val="24"/>
          <w:lang w:val="fr-FR"/>
        </w:rPr>
        <w:t>Amélioration du système de drainage de l’eau amère</w:t>
      </w:r>
    </w:p>
    <w:p w14:paraId="15F61062" w14:textId="4D52BA91" w:rsidR="00241A7D" w:rsidRPr="00D32180" w:rsidRDefault="00FB3819" w:rsidP="00A76335">
      <w:pPr>
        <w:spacing w:after="120" w:line="288" w:lineRule="auto"/>
        <w:jc w:val="both"/>
        <w:rPr>
          <w:rFonts w:ascii="Times New Roman" w:hAnsi="Times New Roman"/>
          <w:b/>
          <w:sz w:val="24"/>
          <w:lang w:val="fr-FR"/>
        </w:rPr>
      </w:pPr>
      <w:r w:rsidRPr="00D32180">
        <w:rPr>
          <w:rFonts w:ascii="Times New Roman" w:hAnsi="Times New Roman"/>
          <w:b/>
          <w:sz w:val="24"/>
          <w:lang w:val="fr-FR"/>
        </w:rPr>
        <w:lastRenderedPageBreak/>
        <w:t>L</w:t>
      </w:r>
      <w:r w:rsidR="009F0A80" w:rsidRPr="00D32180">
        <w:rPr>
          <w:rFonts w:ascii="Times New Roman" w:hAnsi="Times New Roman"/>
          <w:b/>
          <w:sz w:val="24"/>
          <w:lang w:val="fr-FR"/>
        </w:rPr>
        <w:t xml:space="preserve">’objectif de cet </w:t>
      </w:r>
      <w:r w:rsidR="000F642D" w:rsidRPr="00D32180">
        <w:rPr>
          <w:rFonts w:ascii="Times New Roman" w:hAnsi="Times New Roman"/>
          <w:b/>
          <w:sz w:val="24"/>
          <w:lang w:val="fr-FR"/>
        </w:rPr>
        <w:t>Appel à Manifestation d’Intérêt (</w:t>
      </w:r>
      <w:r w:rsidR="009F0A80" w:rsidRPr="00D32180">
        <w:rPr>
          <w:rFonts w:ascii="Times New Roman" w:hAnsi="Times New Roman"/>
          <w:b/>
          <w:sz w:val="24"/>
          <w:lang w:val="fr-FR"/>
        </w:rPr>
        <w:t>AMI</w:t>
      </w:r>
      <w:r w:rsidR="000F642D" w:rsidRPr="00D32180">
        <w:rPr>
          <w:rFonts w:ascii="Times New Roman" w:hAnsi="Times New Roman"/>
          <w:b/>
          <w:sz w:val="24"/>
          <w:lang w:val="fr-FR"/>
        </w:rPr>
        <w:t>)</w:t>
      </w:r>
      <w:r w:rsidR="009F0A80" w:rsidRPr="00D32180">
        <w:rPr>
          <w:rFonts w:ascii="Times New Roman" w:hAnsi="Times New Roman"/>
          <w:b/>
          <w:sz w:val="24"/>
          <w:lang w:val="fr-FR"/>
        </w:rPr>
        <w:t xml:space="preserve"> est de : </w:t>
      </w:r>
    </w:p>
    <w:p w14:paraId="1BDF480F" w14:textId="09C32AD0" w:rsidR="009F0A80" w:rsidRPr="00DD46C9" w:rsidRDefault="009F0A80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DD46C9">
        <w:rPr>
          <w:rFonts w:ascii="Times New Roman" w:hAnsi="Times New Roman"/>
          <w:sz w:val="24"/>
          <w:lang w:val="fr-FR"/>
        </w:rPr>
        <w:t>Recevoir des expressions</w:t>
      </w:r>
      <w:r w:rsidR="005C7665" w:rsidRPr="00DD46C9">
        <w:rPr>
          <w:rFonts w:ascii="Times New Roman" w:hAnsi="Times New Roman"/>
          <w:sz w:val="24"/>
          <w:lang w:val="fr-FR"/>
        </w:rPr>
        <w:t xml:space="preserve"> d’intérêt d’entités qui souhaiteraient</w:t>
      </w:r>
      <w:r w:rsidRPr="00DD46C9">
        <w:rPr>
          <w:rFonts w:ascii="Times New Roman" w:hAnsi="Times New Roman"/>
          <w:sz w:val="24"/>
          <w:lang w:val="fr-FR"/>
        </w:rPr>
        <w:t xml:space="preserve"> participer à l’appel d’offre</w:t>
      </w:r>
      <w:r w:rsidR="005C7665" w:rsidRPr="00DD46C9">
        <w:rPr>
          <w:rFonts w:ascii="Times New Roman" w:hAnsi="Times New Roman"/>
          <w:sz w:val="24"/>
          <w:lang w:val="fr-FR"/>
        </w:rPr>
        <w:t>s restreint</w:t>
      </w:r>
      <w:r w:rsidR="006E00AE">
        <w:rPr>
          <w:rFonts w:ascii="Times New Roman" w:hAnsi="Times New Roman"/>
          <w:sz w:val="24"/>
          <w:lang w:val="fr-FR"/>
        </w:rPr>
        <w:t> ;</w:t>
      </w:r>
    </w:p>
    <w:p w14:paraId="17AFFDB5" w14:textId="1F4676A0" w:rsidR="00FB3819" w:rsidRPr="0072282C" w:rsidRDefault="009F0A80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DD46C9">
        <w:rPr>
          <w:rFonts w:ascii="Times New Roman" w:hAnsi="Times New Roman"/>
          <w:sz w:val="24"/>
          <w:lang w:val="fr-FR"/>
        </w:rPr>
        <w:t xml:space="preserve">Evaluer </w:t>
      </w:r>
      <w:r w:rsidR="005C7665" w:rsidRPr="00DD46C9">
        <w:rPr>
          <w:rFonts w:ascii="Times New Roman" w:hAnsi="Times New Roman"/>
          <w:sz w:val="24"/>
          <w:lang w:val="fr-FR"/>
        </w:rPr>
        <w:t>le niveau d’expertise et les précédentes réalisations de chaque entité intéressée</w:t>
      </w:r>
      <w:r w:rsidR="006E00AE">
        <w:rPr>
          <w:rFonts w:ascii="Times New Roman" w:hAnsi="Times New Roman"/>
          <w:sz w:val="24"/>
          <w:lang w:val="fr-FR"/>
        </w:rPr>
        <w:t> ;</w:t>
      </w:r>
    </w:p>
    <w:p w14:paraId="666493C3" w14:textId="0DEF7273" w:rsidR="009F0A80" w:rsidRPr="00A76335" w:rsidRDefault="005C7665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DD46C9">
        <w:rPr>
          <w:rFonts w:ascii="Times New Roman" w:hAnsi="Times New Roman"/>
          <w:sz w:val="24"/>
          <w:lang w:val="fr-FR"/>
        </w:rPr>
        <w:t xml:space="preserve">Etablir la liste restreinte des entités retenues </w:t>
      </w:r>
      <w:r w:rsidR="004F7FCB">
        <w:rPr>
          <w:rFonts w:ascii="Times New Roman" w:hAnsi="Times New Roman"/>
          <w:sz w:val="24"/>
          <w:lang w:val="fr-FR"/>
        </w:rPr>
        <w:t>auxquelles</w:t>
      </w:r>
      <w:r w:rsidRPr="00DD46C9">
        <w:rPr>
          <w:rFonts w:ascii="Times New Roman" w:hAnsi="Times New Roman"/>
          <w:sz w:val="24"/>
          <w:lang w:val="fr-FR"/>
        </w:rPr>
        <w:t xml:space="preserve"> le</w:t>
      </w:r>
      <w:r w:rsidR="008A40F9">
        <w:rPr>
          <w:rFonts w:ascii="Times New Roman" w:hAnsi="Times New Roman"/>
          <w:sz w:val="24"/>
          <w:lang w:val="fr-FR"/>
        </w:rPr>
        <w:t xml:space="preserve">s deux </w:t>
      </w:r>
      <w:r w:rsidR="008A40F9" w:rsidRPr="00DD46C9">
        <w:rPr>
          <w:rFonts w:ascii="Times New Roman" w:hAnsi="Times New Roman"/>
          <w:sz w:val="24"/>
          <w:lang w:val="fr-FR"/>
        </w:rPr>
        <w:t>documents</w:t>
      </w:r>
      <w:r w:rsidR="008A40F9">
        <w:rPr>
          <w:rFonts w:ascii="Times New Roman" w:hAnsi="Times New Roman"/>
          <w:sz w:val="24"/>
          <w:lang w:val="fr-FR"/>
        </w:rPr>
        <w:t xml:space="preserve"> d’appel d’offre seront</w:t>
      </w:r>
      <w:r w:rsidRPr="00DD46C9">
        <w:rPr>
          <w:rFonts w:ascii="Times New Roman" w:hAnsi="Times New Roman"/>
          <w:sz w:val="24"/>
          <w:lang w:val="fr-FR"/>
        </w:rPr>
        <w:t xml:space="preserve"> transmis.</w:t>
      </w:r>
    </w:p>
    <w:p w14:paraId="3B859D58" w14:textId="77777777" w:rsidR="009F0A80" w:rsidRPr="00D32180" w:rsidRDefault="009F0A80" w:rsidP="00A76335">
      <w:pPr>
        <w:spacing w:after="120" w:line="288" w:lineRule="auto"/>
        <w:jc w:val="both"/>
        <w:rPr>
          <w:rFonts w:ascii="Times New Roman" w:hAnsi="Times New Roman"/>
          <w:b/>
          <w:sz w:val="24"/>
          <w:lang w:val="fr-FR"/>
        </w:rPr>
      </w:pPr>
      <w:r w:rsidRPr="00D32180">
        <w:rPr>
          <w:rFonts w:ascii="Times New Roman" w:hAnsi="Times New Roman"/>
          <w:b/>
          <w:sz w:val="24"/>
          <w:lang w:val="fr-FR"/>
        </w:rPr>
        <w:t xml:space="preserve">Les documents à soumettre pour examen des candidatures sont : </w:t>
      </w:r>
    </w:p>
    <w:p w14:paraId="0FF21C54" w14:textId="40841789" w:rsidR="00182C19" w:rsidRPr="00DD46C9" w:rsidRDefault="00182C19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color w:val="000000" w:themeColor="text1"/>
          <w:sz w:val="24"/>
          <w:lang w:val="fr-FR"/>
        </w:rPr>
      </w:pPr>
      <w:r w:rsidRPr="00DD46C9">
        <w:rPr>
          <w:rFonts w:ascii="Times New Roman" w:hAnsi="Times New Roman"/>
          <w:color w:val="000000" w:themeColor="text1"/>
          <w:sz w:val="24"/>
          <w:lang w:val="fr-FR"/>
        </w:rPr>
        <w:t xml:space="preserve">Les </w:t>
      </w:r>
      <w:r w:rsidR="005C7665" w:rsidRPr="00DD46C9">
        <w:rPr>
          <w:rFonts w:ascii="Times New Roman" w:hAnsi="Times New Roman"/>
          <w:color w:val="000000" w:themeColor="text1"/>
          <w:sz w:val="24"/>
          <w:lang w:val="fr-FR"/>
        </w:rPr>
        <w:t>documents légaux du consultant / du bureau d’études</w:t>
      </w:r>
      <w:r w:rsidR="006E00AE">
        <w:rPr>
          <w:rFonts w:ascii="Times New Roman" w:hAnsi="Times New Roman"/>
          <w:color w:val="000000" w:themeColor="text1"/>
          <w:sz w:val="24"/>
          <w:lang w:val="fr-FR"/>
        </w:rPr>
        <w:t> ;</w:t>
      </w:r>
    </w:p>
    <w:p w14:paraId="5B27AC84" w14:textId="5DDAA99F" w:rsidR="009F0A80" w:rsidRPr="009A1434" w:rsidRDefault="009F0A80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DD46C9">
        <w:rPr>
          <w:rFonts w:ascii="Times New Roman" w:hAnsi="Times New Roman"/>
          <w:sz w:val="24"/>
          <w:lang w:val="fr-FR"/>
        </w:rPr>
        <w:t>Un document de présentation de l’entité (historique, mission/vision), en incluant le</w:t>
      </w:r>
      <w:r w:rsidR="005C7665" w:rsidRPr="00DD46C9">
        <w:rPr>
          <w:rFonts w:ascii="Times New Roman" w:hAnsi="Times New Roman"/>
          <w:sz w:val="24"/>
          <w:lang w:val="fr-FR"/>
        </w:rPr>
        <w:t xml:space="preserve"> cas échéant le</w:t>
      </w:r>
      <w:r w:rsidRPr="00DD46C9">
        <w:rPr>
          <w:rFonts w:ascii="Times New Roman" w:hAnsi="Times New Roman"/>
          <w:sz w:val="24"/>
          <w:lang w:val="fr-FR"/>
        </w:rPr>
        <w:t xml:space="preserve"> nombre </w:t>
      </w:r>
      <w:r w:rsidRPr="009A1434">
        <w:rPr>
          <w:rFonts w:ascii="Times New Roman" w:hAnsi="Times New Roman"/>
          <w:sz w:val="24"/>
          <w:lang w:val="fr-FR"/>
        </w:rPr>
        <w:t>d’employés permanents, classifié par niveau professionnel</w:t>
      </w:r>
      <w:r w:rsidR="006E00AE" w:rsidRPr="009A1434">
        <w:rPr>
          <w:rFonts w:ascii="Times New Roman" w:hAnsi="Times New Roman"/>
          <w:sz w:val="24"/>
          <w:lang w:val="fr-FR"/>
        </w:rPr>
        <w:t> ;</w:t>
      </w:r>
    </w:p>
    <w:p w14:paraId="1C121B66" w14:textId="5093327B" w:rsidR="005C7665" w:rsidRPr="009A1434" w:rsidRDefault="009F0A80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9A1434">
        <w:rPr>
          <w:rFonts w:ascii="Times New Roman" w:hAnsi="Times New Roman"/>
          <w:sz w:val="24"/>
          <w:lang w:val="fr-FR"/>
        </w:rPr>
        <w:t>Une liste d’activités réalisées</w:t>
      </w:r>
      <w:r w:rsidR="005C7665" w:rsidRPr="009A1434">
        <w:rPr>
          <w:rFonts w:ascii="Times New Roman" w:hAnsi="Times New Roman"/>
          <w:sz w:val="24"/>
          <w:lang w:val="fr-FR"/>
        </w:rPr>
        <w:t xml:space="preserve"> </w:t>
      </w:r>
      <w:r w:rsidR="00621FB1" w:rsidRPr="009A1434">
        <w:rPr>
          <w:rFonts w:ascii="Times New Roman" w:hAnsi="Times New Roman"/>
          <w:sz w:val="24"/>
          <w:lang w:val="fr-FR"/>
        </w:rPr>
        <w:t xml:space="preserve">au cours des 5 dernières années </w:t>
      </w:r>
      <w:r w:rsidR="005C7665" w:rsidRPr="009A1434">
        <w:rPr>
          <w:rFonts w:ascii="Times New Roman" w:hAnsi="Times New Roman"/>
          <w:sz w:val="24"/>
          <w:lang w:val="fr-FR"/>
        </w:rPr>
        <w:t xml:space="preserve">en termes de maîtrise d’œuvre </w:t>
      </w:r>
      <w:r w:rsidR="005C7665" w:rsidRPr="009A1434">
        <w:rPr>
          <w:rFonts w:ascii="Times New Roman" w:hAnsi="Times New Roman"/>
          <w:sz w:val="24"/>
          <w:u w:val="single"/>
          <w:lang w:val="fr-FR"/>
        </w:rPr>
        <w:t>sur des projets de même nature</w:t>
      </w:r>
      <w:r w:rsidRPr="009A1434">
        <w:rPr>
          <w:rFonts w:ascii="Times New Roman" w:hAnsi="Times New Roman"/>
          <w:sz w:val="24"/>
          <w:lang w:val="fr-FR"/>
        </w:rPr>
        <w:t xml:space="preserve">, incluant le montant pour chaque activité, le nom des bailleurs, </w:t>
      </w:r>
      <w:r w:rsidR="00CC410B">
        <w:rPr>
          <w:rFonts w:ascii="Times New Roman" w:hAnsi="Times New Roman"/>
          <w:sz w:val="24"/>
          <w:lang w:val="fr-FR"/>
        </w:rPr>
        <w:t xml:space="preserve">le contact </w:t>
      </w:r>
      <w:r w:rsidR="004F7FCB">
        <w:rPr>
          <w:rFonts w:ascii="Times New Roman" w:hAnsi="Times New Roman"/>
          <w:sz w:val="24"/>
          <w:lang w:val="fr-FR"/>
        </w:rPr>
        <w:t xml:space="preserve">actuel </w:t>
      </w:r>
      <w:r w:rsidR="00CC410B">
        <w:rPr>
          <w:rFonts w:ascii="Times New Roman" w:hAnsi="Times New Roman"/>
          <w:sz w:val="24"/>
          <w:lang w:val="fr-FR"/>
        </w:rPr>
        <w:t xml:space="preserve">du commanditaire, </w:t>
      </w:r>
      <w:r w:rsidRPr="009A1434">
        <w:rPr>
          <w:rFonts w:ascii="Times New Roman" w:hAnsi="Times New Roman"/>
          <w:sz w:val="24"/>
          <w:lang w:val="fr-FR"/>
        </w:rPr>
        <w:t>la période d’exécution, les communautés bénéfic</w:t>
      </w:r>
      <w:r w:rsidR="004F7FCB">
        <w:rPr>
          <w:rFonts w:ascii="Times New Roman" w:hAnsi="Times New Roman"/>
          <w:sz w:val="24"/>
          <w:lang w:val="fr-FR"/>
        </w:rPr>
        <w:t xml:space="preserve">iaires </w:t>
      </w:r>
      <w:r w:rsidR="006E00AE" w:rsidRPr="009A1434">
        <w:rPr>
          <w:rFonts w:ascii="Times New Roman" w:hAnsi="Times New Roman"/>
          <w:sz w:val="24"/>
          <w:lang w:val="fr-FR"/>
        </w:rPr>
        <w:t>;</w:t>
      </w:r>
      <w:r w:rsidR="005C7665" w:rsidRPr="009A1434">
        <w:rPr>
          <w:rFonts w:ascii="Times New Roman" w:hAnsi="Times New Roman"/>
          <w:sz w:val="24"/>
          <w:lang w:val="fr-FR"/>
        </w:rPr>
        <w:t xml:space="preserve"> </w:t>
      </w:r>
    </w:p>
    <w:p w14:paraId="4352F018" w14:textId="1D74E427" w:rsidR="00FB3819" w:rsidRDefault="005C7665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9A1434">
        <w:rPr>
          <w:rFonts w:ascii="Times New Roman" w:hAnsi="Times New Roman"/>
          <w:sz w:val="24"/>
          <w:lang w:val="fr-FR"/>
        </w:rPr>
        <w:t xml:space="preserve">Le CV des experts principaux (maximum 3 pages par expert). </w:t>
      </w:r>
    </w:p>
    <w:p w14:paraId="286162B8" w14:textId="77777777" w:rsidR="00D32180" w:rsidRPr="0006096D" w:rsidRDefault="00D32180" w:rsidP="00A76335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</w:p>
    <w:p w14:paraId="44FDE1B2" w14:textId="4C8A386B" w:rsidR="001560C7" w:rsidRDefault="001560C7" w:rsidP="007C5DCE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9A1434">
        <w:rPr>
          <w:rFonts w:ascii="Times New Roman" w:hAnsi="Times New Roman"/>
          <w:sz w:val="24"/>
          <w:lang w:val="fr-FR"/>
        </w:rPr>
        <w:t xml:space="preserve">Par ailleurs, </w:t>
      </w:r>
      <w:r w:rsidR="001D4717">
        <w:rPr>
          <w:rFonts w:ascii="Times New Roman" w:hAnsi="Times New Roman"/>
          <w:sz w:val="24"/>
          <w:lang w:val="fr-FR"/>
        </w:rPr>
        <w:t>la sélection d’une entité pour la</w:t>
      </w:r>
      <w:r w:rsidR="004F1468" w:rsidRPr="009A6C24">
        <w:rPr>
          <w:rFonts w:ascii="Times New Roman" w:hAnsi="Times New Roman"/>
          <w:sz w:val="24"/>
          <w:lang w:val="fr-FR"/>
        </w:rPr>
        <w:t xml:space="preserve"> réalisation de ces </w:t>
      </w:r>
      <w:r w:rsidR="00A76335">
        <w:rPr>
          <w:rFonts w:ascii="Times New Roman" w:hAnsi="Times New Roman"/>
          <w:sz w:val="24"/>
          <w:lang w:val="fr-FR"/>
        </w:rPr>
        <w:t xml:space="preserve">aménagements </w:t>
      </w:r>
      <w:r w:rsidR="004F1468" w:rsidRPr="009A6C24">
        <w:rPr>
          <w:rFonts w:ascii="Times New Roman" w:hAnsi="Times New Roman"/>
          <w:sz w:val="24"/>
          <w:lang w:val="fr-FR"/>
        </w:rPr>
        <w:t>entraine systématiquement la disqu</w:t>
      </w:r>
      <w:r w:rsidR="007C5DCE">
        <w:rPr>
          <w:rFonts w:ascii="Times New Roman" w:hAnsi="Times New Roman"/>
          <w:sz w:val="24"/>
          <w:lang w:val="fr-FR"/>
        </w:rPr>
        <w:t xml:space="preserve">alification de cette entité dans la </w:t>
      </w:r>
      <w:r w:rsidR="009A6C24">
        <w:rPr>
          <w:rFonts w:ascii="Times New Roman" w:hAnsi="Times New Roman"/>
          <w:sz w:val="24"/>
          <w:lang w:val="fr-FR"/>
        </w:rPr>
        <w:t>passat</w:t>
      </w:r>
      <w:r w:rsidR="00B51F67">
        <w:rPr>
          <w:rFonts w:ascii="Times New Roman" w:hAnsi="Times New Roman"/>
          <w:sz w:val="24"/>
          <w:lang w:val="fr-FR"/>
        </w:rPr>
        <w:t>ion</w:t>
      </w:r>
      <w:r w:rsidR="00A76335">
        <w:rPr>
          <w:rFonts w:ascii="Times New Roman" w:hAnsi="Times New Roman"/>
          <w:sz w:val="24"/>
          <w:lang w:val="fr-FR"/>
        </w:rPr>
        <w:t xml:space="preserve"> de marché </w:t>
      </w:r>
      <w:r w:rsidR="009A6C24">
        <w:rPr>
          <w:rFonts w:ascii="Times New Roman" w:hAnsi="Times New Roman"/>
          <w:sz w:val="24"/>
          <w:lang w:val="fr-FR"/>
        </w:rPr>
        <w:t xml:space="preserve">pour la </w:t>
      </w:r>
      <w:r w:rsidR="001D4717">
        <w:rPr>
          <w:rFonts w:ascii="Times New Roman" w:hAnsi="Times New Roman"/>
          <w:sz w:val="24"/>
          <w:lang w:val="fr-FR"/>
        </w:rPr>
        <w:t>supervision des travaux.</w:t>
      </w:r>
      <w:r w:rsidR="00A76335">
        <w:rPr>
          <w:rFonts w:ascii="Times New Roman" w:hAnsi="Times New Roman"/>
          <w:sz w:val="24"/>
          <w:lang w:val="fr-FR"/>
        </w:rPr>
        <w:t xml:space="preserve"> </w:t>
      </w:r>
    </w:p>
    <w:p w14:paraId="547AAAD2" w14:textId="1884AD65" w:rsidR="004757A7" w:rsidRDefault="004757A7" w:rsidP="00A76335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Ces documents devront parvenir</w:t>
      </w:r>
      <w:r w:rsidR="007C5DCE">
        <w:rPr>
          <w:rFonts w:ascii="Times New Roman" w:hAnsi="Times New Roman"/>
          <w:sz w:val="24"/>
          <w:lang w:val="fr-FR"/>
        </w:rPr>
        <w:t xml:space="preserve"> </w:t>
      </w:r>
      <w:r w:rsidR="007C5DCE" w:rsidRPr="007C5DCE">
        <w:rPr>
          <w:rFonts w:ascii="Times New Roman" w:hAnsi="Times New Roman"/>
          <w:sz w:val="24"/>
          <w:lang w:val="fr-FR"/>
        </w:rPr>
        <w:t>au plus tard</w:t>
      </w:r>
      <w:r>
        <w:rPr>
          <w:rFonts w:ascii="Times New Roman" w:hAnsi="Times New Roman"/>
          <w:sz w:val="24"/>
          <w:lang w:val="fr-FR"/>
        </w:rPr>
        <w:t xml:space="preserve"> </w:t>
      </w:r>
      <w:r w:rsidRPr="00620585">
        <w:rPr>
          <w:rFonts w:ascii="Times New Roman" w:hAnsi="Times New Roman"/>
          <w:b/>
          <w:sz w:val="24"/>
          <w:lang w:val="fr-FR"/>
        </w:rPr>
        <w:t xml:space="preserve">le </w:t>
      </w:r>
      <w:r w:rsidR="00620585" w:rsidRPr="00620585">
        <w:rPr>
          <w:rFonts w:ascii="Times New Roman" w:hAnsi="Times New Roman"/>
          <w:b/>
          <w:sz w:val="24"/>
          <w:lang w:val="fr-FR"/>
        </w:rPr>
        <w:t>06 aout</w:t>
      </w:r>
      <w:r w:rsidR="00620585">
        <w:rPr>
          <w:rFonts w:ascii="Times New Roman" w:hAnsi="Times New Roman"/>
          <w:b/>
          <w:sz w:val="24"/>
          <w:lang w:val="fr-FR"/>
        </w:rPr>
        <w:t xml:space="preserve"> 2021 </w:t>
      </w:r>
      <w:r w:rsidR="00AD01FF">
        <w:rPr>
          <w:rFonts w:ascii="Times New Roman" w:hAnsi="Times New Roman"/>
          <w:sz w:val="24"/>
          <w:lang w:val="fr-FR"/>
        </w:rPr>
        <w:t xml:space="preserve">avec demande d’accusé de réception </w:t>
      </w: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11C2" w:rsidRPr="004757A7" w14:paraId="0BEF5279" w14:textId="77777777" w:rsidTr="000611C2">
        <w:tc>
          <w:tcPr>
            <w:tcW w:w="9493" w:type="dxa"/>
          </w:tcPr>
          <w:p w14:paraId="4BC97DE3" w14:textId="77777777" w:rsidR="000611C2" w:rsidRPr="004757A7" w:rsidRDefault="000611C2" w:rsidP="00A76335">
            <w:pPr>
              <w:spacing w:after="120" w:line="288" w:lineRule="auto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r w:rsidRPr="004757A7">
              <w:rPr>
                <w:rFonts w:ascii="Times New Roman" w:hAnsi="Times New Roman"/>
                <w:b/>
                <w:sz w:val="24"/>
                <w:lang w:val="fr-FR"/>
              </w:rPr>
              <w:t>Par e-mail</w:t>
            </w:r>
          </w:p>
        </w:tc>
      </w:tr>
      <w:tr w:rsidR="000611C2" w:rsidRPr="000A2F2C" w14:paraId="62A4C87F" w14:textId="77777777" w:rsidTr="000611C2">
        <w:tc>
          <w:tcPr>
            <w:tcW w:w="9493" w:type="dxa"/>
          </w:tcPr>
          <w:p w14:paraId="6F2E529F" w14:textId="0AE12163" w:rsidR="000611C2" w:rsidRDefault="00882016" w:rsidP="00A76335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  <w:lang w:val="fr-FR"/>
              </w:rPr>
            </w:pPr>
            <w:hyperlink r:id="rId7" w:history="1">
              <w:r w:rsidR="000611C2" w:rsidRPr="00FA465A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m</w:t>
              </w:r>
              <w:r w:rsidR="000611C2" w:rsidRPr="00FA465A">
                <w:rPr>
                  <w:rStyle w:val="Hyperlink"/>
                  <w:lang w:val="fr-FR"/>
                </w:rPr>
                <w:t>onezime.haiti@gret.org</w:t>
              </w:r>
            </w:hyperlink>
            <w:r w:rsidR="000611C2">
              <w:rPr>
                <w:lang w:val="fr-FR"/>
              </w:rPr>
              <w:t xml:space="preserve"> </w:t>
            </w:r>
          </w:p>
          <w:p w14:paraId="16B96D5A" w14:textId="1543A0C6" w:rsidR="000611C2" w:rsidRDefault="000611C2" w:rsidP="00620585">
            <w:pPr>
              <w:spacing w:after="120" w:line="288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A40F9">
              <w:rPr>
                <w:rFonts w:ascii="Times New Roman" w:hAnsi="Times New Roman"/>
                <w:b/>
                <w:i/>
                <w:sz w:val="24"/>
                <w:u w:val="single"/>
                <w:lang w:val="fr-FR"/>
              </w:rPr>
              <w:t>En précisant l’objet :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« </w:t>
            </w:r>
            <w:r w:rsidR="00CB0B85" w:rsidRPr="00E36F99">
              <w:rPr>
                <w:rFonts w:ascii="Times New Roman" w:hAnsi="Times New Roman"/>
                <w:i/>
                <w:sz w:val="24"/>
                <w:lang w:val="fr-FR"/>
              </w:rPr>
              <w:t>AMI</w:t>
            </w:r>
            <w:r w:rsidR="00A76335" w:rsidRPr="00E36F99">
              <w:rPr>
                <w:rFonts w:ascii="Times New Roman" w:hAnsi="Times New Roman"/>
                <w:i/>
                <w:sz w:val="24"/>
                <w:lang w:val="fr-FR"/>
              </w:rPr>
              <w:t xml:space="preserve"> – </w:t>
            </w:r>
            <w:r w:rsidR="00E36F99" w:rsidRPr="00E36F99">
              <w:rPr>
                <w:rFonts w:ascii="Times New Roman" w:hAnsi="Times New Roman"/>
                <w:i/>
                <w:sz w:val="24"/>
                <w:lang w:val="fr-FR"/>
              </w:rPr>
              <w:t>A</w:t>
            </w:r>
            <w:r w:rsidR="005D4BB4" w:rsidRPr="00E36F99">
              <w:rPr>
                <w:rFonts w:ascii="Times New Roman" w:hAnsi="Times New Roman"/>
                <w:i/>
                <w:sz w:val="24"/>
                <w:lang w:val="fr-FR"/>
              </w:rPr>
              <w:t>m</w:t>
            </w:r>
            <w:r w:rsidR="00E36F99" w:rsidRPr="00E36F99">
              <w:rPr>
                <w:rFonts w:ascii="Times New Roman" w:hAnsi="Times New Roman"/>
                <w:i/>
                <w:sz w:val="24"/>
                <w:lang w:val="fr-FR"/>
              </w:rPr>
              <w:t>énagements unités de stockage/</w:t>
            </w:r>
            <w:r w:rsidR="005D4BB4" w:rsidRPr="00E36F99">
              <w:rPr>
                <w:rFonts w:ascii="Times New Roman" w:hAnsi="Times New Roman"/>
                <w:i/>
                <w:sz w:val="24"/>
                <w:lang w:val="fr-FR"/>
              </w:rPr>
              <w:t xml:space="preserve"> transformation d’arachide</w:t>
            </w:r>
            <w:r w:rsidR="00E36F99" w:rsidRPr="00E36F99">
              <w:rPr>
                <w:rFonts w:ascii="Times New Roman" w:hAnsi="Times New Roman"/>
                <w:i/>
                <w:sz w:val="24"/>
                <w:lang w:val="fr-FR"/>
              </w:rPr>
              <w:t xml:space="preserve"> et trois (3) unités de transformation de manioc</w:t>
            </w:r>
            <w:r w:rsidR="00E36F99">
              <w:rPr>
                <w:rFonts w:ascii="Times New Roman" w:hAnsi="Times New Roman"/>
                <w:i/>
                <w:sz w:val="24"/>
                <w:lang w:val="fr-FR"/>
              </w:rPr>
              <w:t>.</w:t>
            </w:r>
          </w:p>
        </w:tc>
      </w:tr>
    </w:tbl>
    <w:p w14:paraId="66AC8FD1" w14:textId="77777777" w:rsidR="004757A7" w:rsidRDefault="004757A7" w:rsidP="00A76335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</w:p>
    <w:p w14:paraId="438E620C" w14:textId="0542F732" w:rsidR="00E36F99" w:rsidRDefault="004757A7" w:rsidP="00A76335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Ceci est uniquement une sollicitation d’expression d’intérêt, une remise de proposition en aucun cas n’oblige une des institutions partenaires de ce projet à accorder un contrat ni n’engage à payer les frais encourus à la préparation du dossi</w:t>
      </w:r>
      <w:r w:rsidR="00E36F99">
        <w:rPr>
          <w:rFonts w:ascii="Times New Roman" w:hAnsi="Times New Roman"/>
          <w:sz w:val="24"/>
          <w:lang w:val="fr-FR"/>
        </w:rPr>
        <w:t>er.</w:t>
      </w:r>
    </w:p>
    <w:p w14:paraId="05164369" w14:textId="5EA14BBF" w:rsidR="009F0A80" w:rsidRPr="009F0A80" w:rsidRDefault="00E36F99" w:rsidP="00A76335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181AC9">
        <w:rPr>
          <w:rFonts w:ascii="Times New Roman" w:hAnsi="Times New Roman"/>
          <w:b/>
          <w:sz w:val="24"/>
          <w:u w:val="single"/>
          <w:lang w:val="fr-FR"/>
        </w:rPr>
        <w:t>NB :</w:t>
      </w:r>
      <w:r>
        <w:rPr>
          <w:rFonts w:ascii="Times New Roman" w:hAnsi="Times New Roman"/>
          <w:sz w:val="24"/>
          <w:lang w:val="fr-FR"/>
        </w:rPr>
        <w:t xml:space="preserve"> Les deux Dossiers D’appel d’Offre (DAO) seront diffusés de manière séparée</w:t>
      </w:r>
      <w:r w:rsidR="004757A7">
        <w:rPr>
          <w:rFonts w:ascii="Times New Roman" w:hAnsi="Times New Roman"/>
          <w:sz w:val="24"/>
          <w:lang w:val="fr-FR"/>
        </w:rPr>
        <w:t xml:space="preserve"> </w:t>
      </w:r>
      <w:r w:rsidR="008A40F9">
        <w:rPr>
          <w:rFonts w:ascii="Times New Roman" w:hAnsi="Times New Roman"/>
          <w:sz w:val="24"/>
          <w:lang w:val="fr-FR"/>
        </w:rPr>
        <w:t>ainsi que</w:t>
      </w:r>
      <w:r w:rsidR="00D32180">
        <w:rPr>
          <w:rFonts w:ascii="Times New Roman" w:hAnsi="Times New Roman"/>
          <w:sz w:val="24"/>
          <w:lang w:val="fr-FR"/>
        </w:rPr>
        <w:t xml:space="preserve"> l’analyse des</w:t>
      </w:r>
      <w:r w:rsidR="008A40F9">
        <w:rPr>
          <w:rFonts w:ascii="Times New Roman" w:hAnsi="Times New Roman"/>
          <w:sz w:val="24"/>
          <w:lang w:val="fr-FR"/>
        </w:rPr>
        <w:t xml:space="preserve"> offres qui s’en découleront. </w:t>
      </w:r>
      <w:r>
        <w:rPr>
          <w:rFonts w:ascii="Times New Roman" w:hAnsi="Times New Roman"/>
          <w:sz w:val="24"/>
          <w:lang w:val="fr-FR"/>
        </w:rPr>
        <w:t xml:space="preserve"> </w:t>
      </w:r>
    </w:p>
    <w:p w14:paraId="6A7254FD" w14:textId="557ECB81" w:rsidR="00F26693" w:rsidRDefault="008A2FB2" w:rsidP="008A40F9">
      <w:pPr>
        <w:spacing w:after="120" w:line="288" w:lineRule="auto"/>
        <w:jc w:val="both"/>
        <w:rPr>
          <w:rFonts w:ascii="Times New Roman" w:hAnsi="Times New Roman"/>
          <w:sz w:val="24"/>
          <w:lang w:val="fr-FR"/>
        </w:rPr>
      </w:pPr>
      <w:r w:rsidRPr="001C5B8B">
        <w:rPr>
          <w:rFonts w:ascii="Times New Roman" w:hAnsi="Times New Roman"/>
          <w:sz w:val="24"/>
          <w:lang w:val="fr-FR"/>
        </w:rPr>
        <w:t xml:space="preserve">Nous vous prions, </w:t>
      </w:r>
      <w:r w:rsidR="00C2206E">
        <w:rPr>
          <w:rFonts w:ascii="Times New Roman" w:hAnsi="Times New Roman"/>
          <w:sz w:val="24"/>
          <w:lang w:val="fr-FR"/>
        </w:rPr>
        <w:t xml:space="preserve">Madame, </w:t>
      </w:r>
      <w:r w:rsidR="00284856">
        <w:rPr>
          <w:rFonts w:ascii="Times New Roman" w:hAnsi="Times New Roman"/>
          <w:sz w:val="24"/>
          <w:lang w:val="fr-FR"/>
        </w:rPr>
        <w:t>Monsieur</w:t>
      </w:r>
      <w:r w:rsidRPr="001C5B8B">
        <w:rPr>
          <w:rFonts w:ascii="Times New Roman" w:hAnsi="Times New Roman"/>
          <w:sz w:val="24"/>
          <w:lang w:val="fr-FR"/>
        </w:rPr>
        <w:t>, d’agréer l’expression de nos meilleures salutations.</w:t>
      </w:r>
      <w:r w:rsidR="005D48A9">
        <w:rPr>
          <w:rFonts w:ascii="Times New Roman" w:hAnsi="Times New Roman"/>
          <w:sz w:val="24"/>
          <w:lang w:val="fr-FR"/>
        </w:rPr>
        <w:tab/>
      </w:r>
    </w:p>
    <w:p w14:paraId="62C37969" w14:textId="77777777" w:rsidR="0000577F" w:rsidRPr="00EA6EF2" w:rsidRDefault="0000577F" w:rsidP="00A76335">
      <w:pPr>
        <w:tabs>
          <w:tab w:val="left" w:pos="1005"/>
        </w:tabs>
        <w:spacing w:after="120" w:line="288" w:lineRule="auto"/>
        <w:rPr>
          <w:rFonts w:ascii="Times New Roman" w:hAnsi="Times New Roman"/>
          <w:sz w:val="24"/>
          <w:lang w:val="fr-FR"/>
        </w:rPr>
      </w:pPr>
    </w:p>
    <w:sectPr w:rsidR="0000577F" w:rsidRPr="00EA6EF2" w:rsidSect="00A203AD">
      <w:headerReference w:type="default" r:id="rId8"/>
      <w:footerReference w:type="default" r:id="rId9"/>
      <w:pgSz w:w="12240" w:h="15840" w:code="1"/>
      <w:pgMar w:top="2237" w:right="1440" w:bottom="1138" w:left="1440" w:header="56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20E8" w14:textId="77777777" w:rsidR="00882016" w:rsidRDefault="00882016" w:rsidP="0077044F">
      <w:r>
        <w:separator/>
      </w:r>
    </w:p>
  </w:endnote>
  <w:endnote w:type="continuationSeparator" w:id="0">
    <w:p w14:paraId="1F603E3B" w14:textId="77777777" w:rsidR="00882016" w:rsidRDefault="00882016" w:rsidP="007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C31C" w14:textId="3A70B02D" w:rsidR="00DD3041" w:rsidRDefault="00D32180" w:rsidP="00D32180">
    <w:pPr>
      <w:pStyle w:val="Footer"/>
      <w:tabs>
        <w:tab w:val="clear" w:pos="4680"/>
        <w:tab w:val="clear" w:pos="9360"/>
        <w:tab w:val="left" w:pos="1905"/>
      </w:tabs>
    </w:pPr>
    <w:r w:rsidRPr="003D70F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893D475" wp14:editId="410DFADA">
          <wp:simplePos x="0" y="0"/>
          <wp:positionH relativeFrom="column">
            <wp:posOffset>-933450</wp:posOffset>
          </wp:positionH>
          <wp:positionV relativeFrom="paragraph">
            <wp:posOffset>13969</wp:posOffset>
          </wp:positionV>
          <wp:extent cx="8444331" cy="630555"/>
          <wp:effectExtent l="0" t="0" r="0" b="0"/>
          <wp:wrapNone/>
          <wp:docPr id="4" name="Picture 2" descr="C:\Users\AT Habitat\Documents\1 Form\1 form Gret\0 Kit de communication v3\4. Boite à outils com pays\Papier en tête pays\Haiti\pied-de-page_Haiti_D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 Habitat\Documents\1 Form\1 form Gret\0 Kit de communication v3\4. Boite à outils com pays\Papier en tête pays\Haiti\pied-de-page_Haiti_D8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351" cy="63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EFBDEF6" w14:textId="57ED01F3" w:rsidR="0069666B" w:rsidRDefault="00696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A365" w14:textId="77777777" w:rsidR="00882016" w:rsidRDefault="00882016" w:rsidP="0077044F">
      <w:r>
        <w:separator/>
      </w:r>
    </w:p>
  </w:footnote>
  <w:footnote w:type="continuationSeparator" w:id="0">
    <w:p w14:paraId="669577C0" w14:textId="77777777" w:rsidR="00882016" w:rsidRDefault="00882016" w:rsidP="0077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FBF6" w14:textId="21A8AADA" w:rsidR="00D32180" w:rsidRDefault="00D32180" w:rsidP="00AF251D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69F463" wp14:editId="5EACB60F">
          <wp:simplePos x="0" y="0"/>
          <wp:positionH relativeFrom="column">
            <wp:posOffset>-962025</wp:posOffset>
          </wp:positionH>
          <wp:positionV relativeFrom="paragraph">
            <wp:posOffset>-233045</wp:posOffset>
          </wp:positionV>
          <wp:extent cx="7564120" cy="9810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ete_Haiti_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981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AFC781B" w14:textId="65A26279" w:rsidR="0077044F" w:rsidRPr="00AF251D" w:rsidRDefault="0077044F" w:rsidP="00AF2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2CF"/>
    <w:multiLevelType w:val="hybridMultilevel"/>
    <w:tmpl w:val="9C5E5BF6"/>
    <w:lvl w:ilvl="0" w:tplc="6932F9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310"/>
    <w:multiLevelType w:val="hybridMultilevel"/>
    <w:tmpl w:val="A198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9E5"/>
    <w:multiLevelType w:val="hybridMultilevel"/>
    <w:tmpl w:val="236EB6A4"/>
    <w:lvl w:ilvl="0" w:tplc="DBC6D90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645F"/>
    <w:multiLevelType w:val="hybridMultilevel"/>
    <w:tmpl w:val="1D1C0A3E"/>
    <w:lvl w:ilvl="0" w:tplc="4D60D8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63CF2"/>
    <w:multiLevelType w:val="hybridMultilevel"/>
    <w:tmpl w:val="03BA6F90"/>
    <w:lvl w:ilvl="0" w:tplc="29109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78F"/>
    <w:multiLevelType w:val="hybridMultilevel"/>
    <w:tmpl w:val="35FC9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56CE4"/>
    <w:multiLevelType w:val="hybridMultilevel"/>
    <w:tmpl w:val="4D4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3AB3"/>
    <w:multiLevelType w:val="hybridMultilevel"/>
    <w:tmpl w:val="FA08BDA2"/>
    <w:lvl w:ilvl="0" w:tplc="39F0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97"/>
    <w:rsid w:val="00001CD1"/>
    <w:rsid w:val="0000577F"/>
    <w:rsid w:val="000344F7"/>
    <w:rsid w:val="000415E3"/>
    <w:rsid w:val="00055665"/>
    <w:rsid w:val="00055BCE"/>
    <w:rsid w:val="0005669F"/>
    <w:rsid w:val="0006096D"/>
    <w:rsid w:val="000611C2"/>
    <w:rsid w:val="0007267E"/>
    <w:rsid w:val="00087A3C"/>
    <w:rsid w:val="000912AF"/>
    <w:rsid w:val="000A2F2C"/>
    <w:rsid w:val="000F642D"/>
    <w:rsid w:val="00121261"/>
    <w:rsid w:val="001560C7"/>
    <w:rsid w:val="001616BE"/>
    <w:rsid w:val="0017238C"/>
    <w:rsid w:val="00181AC9"/>
    <w:rsid w:val="00182C19"/>
    <w:rsid w:val="00186F35"/>
    <w:rsid w:val="001940F8"/>
    <w:rsid w:val="00196E4F"/>
    <w:rsid w:val="001A0F3A"/>
    <w:rsid w:val="001B3763"/>
    <w:rsid w:val="001B4352"/>
    <w:rsid w:val="001C113F"/>
    <w:rsid w:val="001C5B8B"/>
    <w:rsid w:val="001C678B"/>
    <w:rsid w:val="001D4717"/>
    <w:rsid w:val="001F6E31"/>
    <w:rsid w:val="002223A5"/>
    <w:rsid w:val="00226748"/>
    <w:rsid w:val="00241A7D"/>
    <w:rsid w:val="00243BD3"/>
    <w:rsid w:val="002454BB"/>
    <w:rsid w:val="00284742"/>
    <w:rsid w:val="00284856"/>
    <w:rsid w:val="002935E3"/>
    <w:rsid w:val="002D5D91"/>
    <w:rsid w:val="002F4999"/>
    <w:rsid w:val="003040C9"/>
    <w:rsid w:val="00316248"/>
    <w:rsid w:val="003217DC"/>
    <w:rsid w:val="00326057"/>
    <w:rsid w:val="00330B75"/>
    <w:rsid w:val="00346493"/>
    <w:rsid w:val="003477D8"/>
    <w:rsid w:val="00357061"/>
    <w:rsid w:val="003609A5"/>
    <w:rsid w:val="003A70C5"/>
    <w:rsid w:val="003B33A6"/>
    <w:rsid w:val="003C0176"/>
    <w:rsid w:val="003D5234"/>
    <w:rsid w:val="003D70F7"/>
    <w:rsid w:val="003E0692"/>
    <w:rsid w:val="00401724"/>
    <w:rsid w:val="004061FD"/>
    <w:rsid w:val="00433249"/>
    <w:rsid w:val="004353A3"/>
    <w:rsid w:val="00440EA2"/>
    <w:rsid w:val="00446443"/>
    <w:rsid w:val="004550DC"/>
    <w:rsid w:val="00456B93"/>
    <w:rsid w:val="004757A7"/>
    <w:rsid w:val="00483479"/>
    <w:rsid w:val="004A344A"/>
    <w:rsid w:val="004A4907"/>
    <w:rsid w:val="004F1468"/>
    <w:rsid w:val="004F2BE0"/>
    <w:rsid w:val="004F7FCB"/>
    <w:rsid w:val="00504D3B"/>
    <w:rsid w:val="00520521"/>
    <w:rsid w:val="00537791"/>
    <w:rsid w:val="005522BE"/>
    <w:rsid w:val="00561CE8"/>
    <w:rsid w:val="00564EF3"/>
    <w:rsid w:val="0057167C"/>
    <w:rsid w:val="005879B1"/>
    <w:rsid w:val="005A1A0C"/>
    <w:rsid w:val="005B5BE5"/>
    <w:rsid w:val="005C1431"/>
    <w:rsid w:val="005C2BAB"/>
    <w:rsid w:val="005C7665"/>
    <w:rsid w:val="005D48A9"/>
    <w:rsid w:val="005D4BB4"/>
    <w:rsid w:val="005E73A9"/>
    <w:rsid w:val="00603F02"/>
    <w:rsid w:val="00620585"/>
    <w:rsid w:val="00621FB1"/>
    <w:rsid w:val="00644774"/>
    <w:rsid w:val="00654D2D"/>
    <w:rsid w:val="00665161"/>
    <w:rsid w:val="006849FC"/>
    <w:rsid w:val="00684C40"/>
    <w:rsid w:val="0069666B"/>
    <w:rsid w:val="006A4DF0"/>
    <w:rsid w:val="006A51AE"/>
    <w:rsid w:val="006E00AE"/>
    <w:rsid w:val="006E086C"/>
    <w:rsid w:val="006E7516"/>
    <w:rsid w:val="00713E3E"/>
    <w:rsid w:val="0072282C"/>
    <w:rsid w:val="00731416"/>
    <w:rsid w:val="0075049C"/>
    <w:rsid w:val="00751E44"/>
    <w:rsid w:val="0077044F"/>
    <w:rsid w:val="0077736A"/>
    <w:rsid w:val="007A0157"/>
    <w:rsid w:val="007A3F56"/>
    <w:rsid w:val="007C30B8"/>
    <w:rsid w:val="007C4B59"/>
    <w:rsid w:val="007C5DCE"/>
    <w:rsid w:val="00815968"/>
    <w:rsid w:val="008233A6"/>
    <w:rsid w:val="008413AC"/>
    <w:rsid w:val="00841714"/>
    <w:rsid w:val="00854BCC"/>
    <w:rsid w:val="00855726"/>
    <w:rsid w:val="00870415"/>
    <w:rsid w:val="00882016"/>
    <w:rsid w:val="00887C95"/>
    <w:rsid w:val="008A2FB2"/>
    <w:rsid w:val="008A40F9"/>
    <w:rsid w:val="008C2402"/>
    <w:rsid w:val="008C52DD"/>
    <w:rsid w:val="008C5FB8"/>
    <w:rsid w:val="008E2F1E"/>
    <w:rsid w:val="008F0F2C"/>
    <w:rsid w:val="0090673A"/>
    <w:rsid w:val="00915617"/>
    <w:rsid w:val="00927754"/>
    <w:rsid w:val="00941488"/>
    <w:rsid w:val="00965D83"/>
    <w:rsid w:val="00982934"/>
    <w:rsid w:val="009928CC"/>
    <w:rsid w:val="009A1434"/>
    <w:rsid w:val="009A6C24"/>
    <w:rsid w:val="009A77EB"/>
    <w:rsid w:val="009A78A4"/>
    <w:rsid w:val="009B159E"/>
    <w:rsid w:val="009B5CD3"/>
    <w:rsid w:val="009B6CE5"/>
    <w:rsid w:val="009D46E0"/>
    <w:rsid w:val="009F0A80"/>
    <w:rsid w:val="009F4417"/>
    <w:rsid w:val="00A07026"/>
    <w:rsid w:val="00A1355D"/>
    <w:rsid w:val="00A203AD"/>
    <w:rsid w:val="00A23BEB"/>
    <w:rsid w:val="00A7339D"/>
    <w:rsid w:val="00A76335"/>
    <w:rsid w:val="00A81D87"/>
    <w:rsid w:val="00AB2D5F"/>
    <w:rsid w:val="00AC080A"/>
    <w:rsid w:val="00AC1CEB"/>
    <w:rsid w:val="00AD01FF"/>
    <w:rsid w:val="00AF03AA"/>
    <w:rsid w:val="00AF251D"/>
    <w:rsid w:val="00B04C44"/>
    <w:rsid w:val="00B51F67"/>
    <w:rsid w:val="00B74C10"/>
    <w:rsid w:val="00B77197"/>
    <w:rsid w:val="00B92381"/>
    <w:rsid w:val="00BA03B6"/>
    <w:rsid w:val="00BA190C"/>
    <w:rsid w:val="00BA6CB0"/>
    <w:rsid w:val="00BB08DB"/>
    <w:rsid w:val="00BC2032"/>
    <w:rsid w:val="00C16FC4"/>
    <w:rsid w:val="00C174E9"/>
    <w:rsid w:val="00C2206E"/>
    <w:rsid w:val="00C4675D"/>
    <w:rsid w:val="00C75823"/>
    <w:rsid w:val="00C8131D"/>
    <w:rsid w:val="00C81F22"/>
    <w:rsid w:val="00C86697"/>
    <w:rsid w:val="00C92230"/>
    <w:rsid w:val="00CB0B85"/>
    <w:rsid w:val="00CC06E4"/>
    <w:rsid w:val="00CC410B"/>
    <w:rsid w:val="00CD1F6A"/>
    <w:rsid w:val="00CD4FF5"/>
    <w:rsid w:val="00D05457"/>
    <w:rsid w:val="00D06392"/>
    <w:rsid w:val="00D1347F"/>
    <w:rsid w:val="00D178E1"/>
    <w:rsid w:val="00D32180"/>
    <w:rsid w:val="00D33E20"/>
    <w:rsid w:val="00D40580"/>
    <w:rsid w:val="00D50B75"/>
    <w:rsid w:val="00D60C5C"/>
    <w:rsid w:val="00D965B8"/>
    <w:rsid w:val="00DC438C"/>
    <w:rsid w:val="00DC4818"/>
    <w:rsid w:val="00DD2A84"/>
    <w:rsid w:val="00DD3041"/>
    <w:rsid w:val="00DD46C9"/>
    <w:rsid w:val="00DE65DC"/>
    <w:rsid w:val="00DE6A08"/>
    <w:rsid w:val="00DF49AA"/>
    <w:rsid w:val="00E0298C"/>
    <w:rsid w:val="00E20E44"/>
    <w:rsid w:val="00E24ED2"/>
    <w:rsid w:val="00E36F99"/>
    <w:rsid w:val="00E474FB"/>
    <w:rsid w:val="00E515A9"/>
    <w:rsid w:val="00E62E6D"/>
    <w:rsid w:val="00E80F0E"/>
    <w:rsid w:val="00EA6EF2"/>
    <w:rsid w:val="00EC7803"/>
    <w:rsid w:val="00EE7E66"/>
    <w:rsid w:val="00F01C97"/>
    <w:rsid w:val="00F21708"/>
    <w:rsid w:val="00F26693"/>
    <w:rsid w:val="00F45049"/>
    <w:rsid w:val="00F510F0"/>
    <w:rsid w:val="00F710E5"/>
    <w:rsid w:val="00F71887"/>
    <w:rsid w:val="00F73FF1"/>
    <w:rsid w:val="00F77D45"/>
    <w:rsid w:val="00F81105"/>
    <w:rsid w:val="00F8222E"/>
    <w:rsid w:val="00F87243"/>
    <w:rsid w:val="00F87DAC"/>
    <w:rsid w:val="00F96B89"/>
    <w:rsid w:val="00FA171C"/>
    <w:rsid w:val="00FA3554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0726F"/>
  <w15:docId w15:val="{602A780B-9A24-49A9-B4B7-093ECB9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1440" w:hanging="1440"/>
      <w:jc w:val="center"/>
    </w:pPr>
    <w:rPr>
      <w:rFonts w:ascii="Book Antiqua" w:hAnsi="Book Antiqua"/>
      <w:b/>
      <w:sz w:val="28"/>
      <w:lang w:val="fr-FR"/>
    </w:rPr>
  </w:style>
  <w:style w:type="paragraph" w:styleId="BodyText">
    <w:name w:val="Body Text"/>
    <w:basedOn w:val="Normal"/>
    <w:semiHidden/>
    <w:rPr>
      <w:rFonts w:ascii="Book Antiqua" w:hAnsi="Book Antiqua"/>
      <w:caps/>
      <w:sz w:val="22"/>
      <w:u w:val="single"/>
      <w:lang w:val="fr-FR"/>
    </w:rPr>
  </w:style>
  <w:style w:type="paragraph" w:styleId="BodyTextIndent">
    <w:name w:val="Body Text Indent"/>
    <w:basedOn w:val="Normal"/>
    <w:semiHidden/>
    <w:pPr>
      <w:ind w:left="900" w:hanging="900"/>
    </w:pPr>
    <w:rPr>
      <w:rFonts w:ascii="Book Antiqua" w:hAnsi="Book Antiqua"/>
      <w:sz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704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044F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4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044F"/>
    <w:rPr>
      <w:rFonts w:ascii="Arial" w:hAnsi="Arial"/>
      <w:szCs w:val="24"/>
      <w:lang w:val="en-GB"/>
    </w:rPr>
  </w:style>
  <w:style w:type="character" w:styleId="Hyperlink">
    <w:name w:val="Hyperlink"/>
    <w:uiPriority w:val="99"/>
    <w:rsid w:val="007704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6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D46E0"/>
    <w:pPr>
      <w:ind w:left="720"/>
      <w:contextualSpacing/>
    </w:pPr>
  </w:style>
  <w:style w:type="table" w:styleId="TableGrid">
    <w:name w:val="Table Grid"/>
    <w:basedOn w:val="TableNormal"/>
    <w:uiPriority w:val="59"/>
    <w:rsid w:val="0047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B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E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E9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E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DE LETTRE D’INVITATION</vt:lpstr>
      <vt:lpstr>MODÈLE DE LETTRE D’INVITATION</vt:lpstr>
    </vt:vector>
  </TitlesOfParts>
  <Company>European Training Foundation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D’INVITATION</dc:title>
  <dc:creator>Alexis Doucet</dc:creator>
  <cp:lastModifiedBy>Charles-Hbert Dalzon</cp:lastModifiedBy>
  <cp:revision>2</cp:revision>
  <cp:lastPrinted>2015-01-21T18:56:00Z</cp:lastPrinted>
  <dcterms:created xsi:type="dcterms:W3CDTF">2021-07-22T20:27:00Z</dcterms:created>
  <dcterms:modified xsi:type="dcterms:W3CDTF">2021-07-22T20:27:00Z</dcterms:modified>
</cp:coreProperties>
</file>