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3E" w:rsidRDefault="00A25CC0" w:rsidP="009A7013">
      <w:pPr>
        <w:spacing w:after="120"/>
        <w:jc w:val="center"/>
        <w:rPr>
          <w:b/>
          <w:sz w:val="28"/>
          <w:szCs w:val="28"/>
        </w:rPr>
      </w:pPr>
      <w:r>
        <w:rPr>
          <w:b/>
          <w:sz w:val="28"/>
          <w:szCs w:val="28"/>
        </w:rPr>
        <w:t>UCMIT/ MSPP</w:t>
      </w:r>
    </w:p>
    <w:p w:rsidR="00A25CC0" w:rsidRPr="00A25CC0" w:rsidRDefault="00A25CC0" w:rsidP="00A25CC0">
      <w:pPr>
        <w:spacing w:after="120"/>
        <w:jc w:val="center"/>
        <w:rPr>
          <w:sz w:val="28"/>
          <w:szCs w:val="28"/>
        </w:rPr>
      </w:pPr>
      <w:r w:rsidRPr="00A25CC0">
        <w:rPr>
          <w:sz w:val="28"/>
          <w:szCs w:val="28"/>
        </w:rPr>
        <w:t>Ministère de la Santé Publique et de la Population/</w:t>
      </w:r>
      <w:r w:rsidRPr="00A25CC0">
        <w:rPr>
          <w:color w:val="000000" w:themeColor="text1"/>
          <w:sz w:val="28"/>
          <w:szCs w:val="28"/>
        </w:rPr>
        <w:t>Unité de Coordination des Maladies Infectieuses et Transmissibles</w:t>
      </w:r>
    </w:p>
    <w:p w:rsidR="009A7013" w:rsidRPr="00FC7110" w:rsidRDefault="009A7013" w:rsidP="009A7013">
      <w:pPr>
        <w:spacing w:after="120"/>
        <w:jc w:val="center"/>
        <w:rPr>
          <w:b/>
          <w:sz w:val="28"/>
          <w:szCs w:val="28"/>
        </w:rPr>
      </w:pPr>
      <w:r w:rsidRPr="00FC7110">
        <w:rPr>
          <w:b/>
          <w:sz w:val="28"/>
          <w:szCs w:val="28"/>
        </w:rPr>
        <w:t>Termes de référence</w:t>
      </w:r>
    </w:p>
    <w:p w:rsidR="009A7013" w:rsidRPr="00FC7110" w:rsidRDefault="009A7013" w:rsidP="009A7013">
      <w:pPr>
        <w:spacing w:after="120"/>
        <w:jc w:val="center"/>
        <w:rPr>
          <w:b/>
          <w:sz w:val="28"/>
          <w:szCs w:val="28"/>
        </w:rPr>
      </w:pPr>
      <w:r w:rsidRPr="00FC7110">
        <w:rPr>
          <w:b/>
          <w:sz w:val="28"/>
          <w:szCs w:val="28"/>
        </w:rPr>
        <w:t>Achat de services de consultation technique</w:t>
      </w:r>
    </w:p>
    <w:p w:rsidR="009A7013" w:rsidRPr="009A7013" w:rsidRDefault="009A7013" w:rsidP="009A7013">
      <w:pPr>
        <w:spacing w:after="120"/>
        <w:jc w:val="center"/>
        <w:rPr>
          <w:rFonts w:cstheme="minorHAnsi"/>
          <w:b/>
          <w:sz w:val="28"/>
          <w:szCs w:val="28"/>
        </w:rPr>
      </w:pPr>
      <w:r w:rsidRPr="00FC7110">
        <w:rPr>
          <w:b/>
          <w:sz w:val="28"/>
          <w:szCs w:val="28"/>
        </w:rPr>
        <w:t xml:space="preserve">Elaboration </w:t>
      </w:r>
      <w:r>
        <w:rPr>
          <w:b/>
          <w:sz w:val="28"/>
          <w:szCs w:val="28"/>
        </w:rPr>
        <w:t>d’un</w:t>
      </w:r>
      <w:r w:rsidR="005039B0">
        <w:rPr>
          <w:b/>
          <w:sz w:val="28"/>
          <w:szCs w:val="28"/>
        </w:rPr>
        <w:t xml:space="preserve"> Tableau de Bord Intégré</w:t>
      </w:r>
      <w:r>
        <w:rPr>
          <w:b/>
          <w:sz w:val="28"/>
          <w:szCs w:val="28"/>
        </w:rPr>
        <w:t xml:space="preserve"> </w:t>
      </w:r>
      <w:r>
        <w:rPr>
          <w:rFonts w:cstheme="minorHAnsi"/>
          <w:b/>
          <w:sz w:val="28"/>
          <w:szCs w:val="28"/>
        </w:rPr>
        <w:t>(</w:t>
      </w:r>
      <w:r w:rsidR="00F910B0">
        <w:rPr>
          <w:rFonts w:cstheme="minorHAnsi"/>
          <w:b/>
          <w:sz w:val="28"/>
          <w:szCs w:val="28"/>
        </w:rPr>
        <w:t>TB</w:t>
      </w:r>
      <w:r w:rsidR="005039B0">
        <w:rPr>
          <w:rFonts w:cstheme="minorHAnsi"/>
          <w:b/>
          <w:sz w:val="28"/>
          <w:szCs w:val="28"/>
        </w:rPr>
        <w:t>I</w:t>
      </w:r>
      <w:r>
        <w:rPr>
          <w:rFonts w:cstheme="minorHAnsi"/>
          <w:b/>
          <w:sz w:val="28"/>
          <w:szCs w:val="28"/>
        </w:rPr>
        <w:t>)</w:t>
      </w:r>
    </w:p>
    <w:p w:rsidR="009A7013" w:rsidRPr="009A7013" w:rsidRDefault="009A7013" w:rsidP="009A7013">
      <w:pPr>
        <w:pStyle w:val="BlockText"/>
        <w:jc w:val="both"/>
        <w:rPr>
          <w:rFonts w:cstheme="minorHAnsi"/>
          <w:b/>
          <w:color w:val="000000" w:themeColor="text1"/>
          <w:sz w:val="22"/>
          <w:u w:val="single"/>
        </w:rPr>
      </w:pPr>
      <w:bookmarkStart w:id="0" w:name="_GoBack"/>
      <w:bookmarkEnd w:id="0"/>
    </w:p>
    <w:p w:rsidR="009A7013" w:rsidRPr="009A7013" w:rsidRDefault="009A7013" w:rsidP="000D1093">
      <w:pPr>
        <w:pStyle w:val="BlockText"/>
        <w:numPr>
          <w:ilvl w:val="0"/>
          <w:numId w:val="7"/>
        </w:numPr>
        <w:jc w:val="both"/>
        <w:rPr>
          <w:rFonts w:cstheme="minorHAnsi"/>
          <w:b/>
          <w:color w:val="000000" w:themeColor="text1"/>
          <w:sz w:val="22"/>
          <w:u w:val="single"/>
        </w:rPr>
      </w:pPr>
      <w:r w:rsidRPr="009A7013">
        <w:rPr>
          <w:rFonts w:cstheme="minorHAnsi"/>
          <w:b/>
          <w:color w:val="000000" w:themeColor="text1"/>
          <w:sz w:val="22"/>
          <w:u w:val="single"/>
        </w:rPr>
        <w:t>Mise en contexte</w:t>
      </w:r>
    </w:p>
    <w:p w:rsidR="009A7013" w:rsidRPr="009A7013" w:rsidRDefault="009A7013" w:rsidP="000D1093">
      <w:pPr>
        <w:pStyle w:val="BlockText"/>
        <w:jc w:val="both"/>
        <w:rPr>
          <w:rFonts w:cstheme="minorHAnsi"/>
          <w:color w:val="000000" w:themeColor="text1"/>
          <w:sz w:val="22"/>
        </w:rPr>
      </w:pPr>
      <w:r w:rsidRPr="009A7013">
        <w:rPr>
          <w:rFonts w:cstheme="minorHAnsi"/>
          <w:color w:val="000000" w:themeColor="text1"/>
          <w:sz w:val="22"/>
        </w:rPr>
        <w:t xml:space="preserve">Conformément à sa mission de coordonner la riposte nationale aux épidémies majeures de VIH de Tuberculose et de Malaria, l’Unité de coordination des maladies infectieuses et transmissibles (UCMIT/ UCP) via les programmes prioritaires, joue un rôle majeur pour aligner les plans stratégiques au document de politiques publiques tout en recherchant continuellement une plus grande synergie dans l’action des partenaires du MSPP. </w:t>
      </w:r>
    </w:p>
    <w:p w:rsidR="0059016C" w:rsidRPr="009A7013" w:rsidRDefault="009A7013" w:rsidP="000D1093">
      <w:pPr>
        <w:ind w:firstLine="720"/>
        <w:jc w:val="both"/>
        <w:rPr>
          <w:rFonts w:eastAsia="Times New Roman" w:cstheme="minorHAnsi"/>
          <w:color w:val="000000" w:themeColor="text1"/>
        </w:rPr>
      </w:pPr>
      <w:r w:rsidRPr="009A7013">
        <w:rPr>
          <w:rFonts w:cstheme="minorHAnsi"/>
          <w:color w:val="000000" w:themeColor="text1"/>
        </w:rPr>
        <w:t xml:space="preserve">Dans un contexte d’accélération des résultats,  l’UCMIT à travers sa direction exécutive met  une emphase toute particulière sur  le </w:t>
      </w:r>
      <w:r w:rsidRPr="009A7013">
        <w:rPr>
          <w:rFonts w:cstheme="minorHAnsi"/>
        </w:rPr>
        <w:t>s</w:t>
      </w:r>
      <w:r w:rsidR="0059016C" w:rsidRPr="009A7013">
        <w:rPr>
          <w:rFonts w:cstheme="minorHAnsi"/>
        </w:rPr>
        <w:t xml:space="preserve">uivi-évaluation dans la gestion des projets </w:t>
      </w:r>
      <w:r w:rsidRPr="009A7013">
        <w:rPr>
          <w:rFonts w:cstheme="minorHAnsi"/>
        </w:rPr>
        <w:t>des trois programmes, a</w:t>
      </w:r>
      <w:r w:rsidR="0059016C" w:rsidRPr="009A7013">
        <w:rPr>
          <w:rFonts w:cstheme="minorHAnsi"/>
        </w:rPr>
        <w:t>fin d’améliorer le suivi de la mise en œuvre des projets sur le terrain et mieux mesurer leurs impacts sur l’amélioration des conditions de vie d</w:t>
      </w:r>
      <w:r w:rsidRPr="009A7013">
        <w:rPr>
          <w:rFonts w:cstheme="minorHAnsi"/>
        </w:rPr>
        <w:t>es populations bénéficiaires. Pour ce faire,</w:t>
      </w:r>
      <w:r w:rsidR="00074A90" w:rsidRPr="009A7013">
        <w:rPr>
          <w:rFonts w:cstheme="minorHAnsi"/>
        </w:rPr>
        <w:t xml:space="preserve"> </w:t>
      </w:r>
      <w:r w:rsidRPr="009A7013">
        <w:rPr>
          <w:rFonts w:cstheme="minorHAnsi"/>
        </w:rPr>
        <w:t>l’UCMIT</w:t>
      </w:r>
      <w:r w:rsidR="0059016C" w:rsidRPr="009A7013">
        <w:rPr>
          <w:rFonts w:cstheme="minorHAnsi"/>
        </w:rPr>
        <w:t xml:space="preserve"> a besoin d’un système d’information de gestion de projets capable de renseigner régulièrement et de façon pertinente sur l’avancement </w:t>
      </w:r>
      <w:r w:rsidRPr="00853071">
        <w:rPr>
          <w:rFonts w:cstheme="minorHAnsi"/>
        </w:rPr>
        <w:t>technique</w:t>
      </w:r>
      <w:r w:rsidR="0059016C" w:rsidRPr="00853071">
        <w:rPr>
          <w:rFonts w:cstheme="minorHAnsi"/>
        </w:rPr>
        <w:t xml:space="preserve"> </w:t>
      </w:r>
      <w:r w:rsidR="0059016C" w:rsidRPr="009A7013">
        <w:rPr>
          <w:rFonts w:cstheme="minorHAnsi"/>
        </w:rPr>
        <w:t>et financier des pro</w:t>
      </w:r>
      <w:r w:rsidRPr="009A7013">
        <w:rPr>
          <w:rFonts w:cstheme="minorHAnsi"/>
        </w:rPr>
        <w:t>grammes</w:t>
      </w:r>
      <w:r w:rsidR="0059016C" w:rsidRPr="009A7013">
        <w:rPr>
          <w:rFonts w:cstheme="minorHAnsi"/>
        </w:rPr>
        <w:t>, l’atteinte des objectifs assignés, les ajustements nécessaires, les enseignements et les leçons tirées, la génération d</w:t>
      </w:r>
      <w:r w:rsidRPr="009A7013">
        <w:rPr>
          <w:rFonts w:cstheme="minorHAnsi"/>
        </w:rPr>
        <w:t>es résultats</w:t>
      </w:r>
      <w:r w:rsidR="0059016C" w:rsidRPr="009A7013">
        <w:rPr>
          <w:rFonts w:cstheme="minorHAnsi"/>
        </w:rPr>
        <w:t xml:space="preserve"> attendus et l’implication des parties prenantes. Ce dispositif permettra d’améliorer le pilotage et l’efficacité des projets et de soutenir la communication et les négociations avec les </w:t>
      </w:r>
      <w:r w:rsidRPr="009A7013">
        <w:rPr>
          <w:rFonts w:cstheme="minorHAnsi"/>
        </w:rPr>
        <w:t>bailleurs</w:t>
      </w:r>
      <w:r w:rsidR="0059016C" w:rsidRPr="009A7013">
        <w:rPr>
          <w:rFonts w:cstheme="minorHAnsi"/>
        </w:rPr>
        <w:t xml:space="preserve"> et les partenaires </w:t>
      </w:r>
      <w:r w:rsidRPr="009A7013">
        <w:rPr>
          <w:rFonts w:cstheme="minorHAnsi"/>
        </w:rPr>
        <w:t>d’implémentations</w:t>
      </w:r>
      <w:r w:rsidR="0059016C" w:rsidRPr="009A7013">
        <w:rPr>
          <w:rFonts w:cstheme="minorHAnsi"/>
        </w:rPr>
        <w:t xml:space="preserve">. Le système de gestion de la performance du portefeuille à mettre en place devra permettre de: </w:t>
      </w:r>
    </w:p>
    <w:p w:rsidR="0059016C" w:rsidRPr="009A7013" w:rsidRDefault="0059016C" w:rsidP="000D1093">
      <w:pPr>
        <w:pStyle w:val="ListParagraph"/>
        <w:numPr>
          <w:ilvl w:val="0"/>
          <w:numId w:val="2"/>
        </w:numPr>
        <w:jc w:val="both"/>
        <w:rPr>
          <w:rFonts w:cstheme="minorHAnsi"/>
        </w:rPr>
      </w:pPr>
      <w:r w:rsidRPr="009A7013">
        <w:rPr>
          <w:rFonts w:cstheme="minorHAnsi"/>
        </w:rPr>
        <w:t>collecter, d’organiser et de présenter les données relatives à la performance opérationnelle des pro</w:t>
      </w:r>
      <w:r w:rsidR="009A7013" w:rsidRPr="009A7013">
        <w:rPr>
          <w:rFonts w:cstheme="minorHAnsi"/>
        </w:rPr>
        <w:t>grammes</w:t>
      </w:r>
      <w:r w:rsidRPr="009A7013">
        <w:rPr>
          <w:rFonts w:cstheme="minorHAnsi"/>
        </w:rPr>
        <w:t xml:space="preserve">; </w:t>
      </w:r>
    </w:p>
    <w:p w:rsidR="0059016C" w:rsidRPr="009A7013" w:rsidRDefault="0059016C" w:rsidP="000D1093">
      <w:pPr>
        <w:pStyle w:val="ListParagraph"/>
        <w:numPr>
          <w:ilvl w:val="0"/>
          <w:numId w:val="2"/>
        </w:numPr>
        <w:jc w:val="both"/>
        <w:rPr>
          <w:rFonts w:cstheme="minorHAnsi"/>
        </w:rPr>
      </w:pPr>
      <w:r w:rsidRPr="009A7013">
        <w:rPr>
          <w:rFonts w:cstheme="minorHAnsi"/>
        </w:rPr>
        <w:t xml:space="preserve">hiérarchiser les indicateurs de performance et de suivi des projets en cohérence avec les objectifs; </w:t>
      </w:r>
    </w:p>
    <w:p w:rsidR="0059016C" w:rsidRPr="009A7013" w:rsidRDefault="0059016C" w:rsidP="000D1093">
      <w:pPr>
        <w:pStyle w:val="ListParagraph"/>
        <w:numPr>
          <w:ilvl w:val="0"/>
          <w:numId w:val="2"/>
        </w:numPr>
        <w:jc w:val="both"/>
        <w:rPr>
          <w:rFonts w:cstheme="minorHAnsi"/>
        </w:rPr>
      </w:pPr>
      <w:r w:rsidRPr="009A7013">
        <w:rPr>
          <w:rFonts w:cstheme="minorHAnsi"/>
        </w:rPr>
        <w:t xml:space="preserve">mesurer les résultats des projets à travers les indicateurs des produits, des effets et d’impacts des projets en mettant l’accent sur l’enchaînement logique des interventions et les relations de cause à effet; </w:t>
      </w:r>
    </w:p>
    <w:p w:rsidR="009A7013" w:rsidRDefault="0059016C" w:rsidP="000D1093">
      <w:pPr>
        <w:pStyle w:val="ListParagraph"/>
        <w:numPr>
          <w:ilvl w:val="0"/>
          <w:numId w:val="2"/>
        </w:numPr>
        <w:jc w:val="both"/>
        <w:rPr>
          <w:rFonts w:cstheme="minorHAnsi"/>
        </w:rPr>
      </w:pPr>
      <w:r w:rsidRPr="009A7013">
        <w:rPr>
          <w:rFonts w:cstheme="minorHAnsi"/>
        </w:rPr>
        <w:lastRenderedPageBreak/>
        <w:t xml:space="preserve">apprécier les résultats des projets avec un intérêt particulier sur la quantification des impacts des projets pour soutenir un pilotage orienté vers l’impact (dans ce sens les missions de supervision, de revue à mi-parcours et d’achèvement sont déterminantes) et promouvoir la culture de résultats (meilleure visibilité, développement des outils et instruments supports, </w:t>
      </w:r>
      <w:proofErr w:type="spellStart"/>
      <w:r w:rsidRPr="009A7013">
        <w:rPr>
          <w:rFonts w:cstheme="minorHAnsi"/>
        </w:rPr>
        <w:t>etc</w:t>
      </w:r>
      <w:proofErr w:type="spellEnd"/>
      <w:r w:rsidRPr="009A7013">
        <w:rPr>
          <w:rFonts w:cstheme="minorHAnsi"/>
        </w:rPr>
        <w:t xml:space="preserve">). Pour ce faire, et en vue de soutenir cette culture de résultats et une valeur ajoutée permettant d’apprécier de façon pertinente la performance, </w:t>
      </w:r>
      <w:r w:rsidR="009A7013" w:rsidRPr="009A7013">
        <w:rPr>
          <w:rFonts w:cstheme="minorHAnsi"/>
        </w:rPr>
        <w:t>l’UCMIT</w:t>
      </w:r>
      <w:r w:rsidRPr="009A7013">
        <w:rPr>
          <w:rFonts w:cstheme="minorHAnsi"/>
        </w:rPr>
        <w:t xml:space="preserve"> compte recruter un consultant </w:t>
      </w:r>
      <w:r w:rsidR="009A7013" w:rsidRPr="009A7013">
        <w:rPr>
          <w:rFonts w:cstheme="minorHAnsi"/>
        </w:rPr>
        <w:t>en suivi stratégique</w:t>
      </w:r>
      <w:r w:rsidRPr="009A7013">
        <w:rPr>
          <w:rFonts w:cstheme="minorHAnsi"/>
        </w:rPr>
        <w:t xml:space="preserve">, spécialiste en gestion de projets et des systèmes d’information, pour mettre en place </w:t>
      </w:r>
      <w:r w:rsidR="00B2698A">
        <w:rPr>
          <w:rFonts w:cstheme="minorHAnsi"/>
        </w:rPr>
        <w:t xml:space="preserve">un </w:t>
      </w:r>
      <w:r w:rsidR="00F910B0">
        <w:rPr>
          <w:rFonts w:cstheme="minorHAnsi"/>
          <w:b/>
        </w:rPr>
        <w:t xml:space="preserve">Tableau de bord </w:t>
      </w:r>
      <w:r w:rsidR="00B2698A" w:rsidRPr="005039B0">
        <w:rPr>
          <w:rFonts w:cstheme="minorHAnsi"/>
          <w:b/>
        </w:rPr>
        <w:t>intégré</w:t>
      </w:r>
      <w:r w:rsidR="00F910B0">
        <w:rPr>
          <w:rFonts w:cstheme="minorHAnsi"/>
          <w:b/>
        </w:rPr>
        <w:t xml:space="preserve"> (TB</w:t>
      </w:r>
      <w:r w:rsidR="005039B0">
        <w:rPr>
          <w:rFonts w:cstheme="minorHAnsi"/>
          <w:b/>
        </w:rPr>
        <w:t>I)</w:t>
      </w:r>
      <w:r w:rsidRPr="009A7013">
        <w:rPr>
          <w:rFonts w:cstheme="minorHAnsi"/>
        </w:rPr>
        <w:t>.</w:t>
      </w:r>
    </w:p>
    <w:p w:rsidR="000D1093" w:rsidRDefault="000D1093" w:rsidP="000D1093">
      <w:pPr>
        <w:pStyle w:val="ListParagraph"/>
        <w:ind w:left="1080"/>
        <w:jc w:val="both"/>
        <w:rPr>
          <w:rFonts w:cstheme="minorHAnsi"/>
        </w:rPr>
      </w:pPr>
    </w:p>
    <w:p w:rsidR="0059016C" w:rsidRPr="009A7013" w:rsidRDefault="0059016C" w:rsidP="000D1093">
      <w:pPr>
        <w:pStyle w:val="ListParagraph"/>
        <w:numPr>
          <w:ilvl w:val="0"/>
          <w:numId w:val="7"/>
        </w:numPr>
        <w:jc w:val="both"/>
        <w:rPr>
          <w:rFonts w:cstheme="minorHAnsi"/>
          <w:b/>
          <w:u w:val="single"/>
        </w:rPr>
      </w:pPr>
      <w:r w:rsidRPr="009A7013">
        <w:rPr>
          <w:rFonts w:cstheme="minorHAnsi"/>
          <w:b/>
          <w:u w:val="single"/>
        </w:rPr>
        <w:t>Objectifs de la mission</w:t>
      </w:r>
    </w:p>
    <w:p w:rsidR="0059016C" w:rsidRPr="009A7013" w:rsidRDefault="0059016C" w:rsidP="000D1093">
      <w:pPr>
        <w:jc w:val="both"/>
        <w:rPr>
          <w:rFonts w:cstheme="minorHAnsi"/>
        </w:rPr>
      </w:pPr>
      <w:r w:rsidRPr="009A7013">
        <w:rPr>
          <w:rFonts w:cstheme="minorHAnsi"/>
        </w:rPr>
        <w:t>1</w:t>
      </w:r>
      <w:r w:rsidR="009A7013" w:rsidRPr="009A7013">
        <w:rPr>
          <w:rFonts w:cstheme="minorHAnsi"/>
        </w:rPr>
        <w:t>.</w:t>
      </w:r>
      <w:r w:rsidRPr="009A7013">
        <w:rPr>
          <w:rFonts w:cstheme="minorHAnsi"/>
        </w:rPr>
        <w:t xml:space="preserve"> L’objectif de cette</w:t>
      </w:r>
      <w:r w:rsidR="00F54AA8">
        <w:rPr>
          <w:rFonts w:cstheme="minorHAnsi"/>
        </w:rPr>
        <w:t xml:space="preserve"> prestation est de concevoir un Tableau de bord intégré </w:t>
      </w:r>
      <w:r w:rsidR="00F910B0">
        <w:rPr>
          <w:rFonts w:cstheme="minorHAnsi"/>
        </w:rPr>
        <w:t xml:space="preserve">pour la visualisation </w:t>
      </w:r>
      <w:r w:rsidRPr="009A7013">
        <w:rPr>
          <w:rFonts w:cstheme="minorHAnsi"/>
        </w:rPr>
        <w:t>d’informations qui sera un outil de planification, de gestion, de suivi-évaluation et d’aide à la décision au service de la Direction</w:t>
      </w:r>
      <w:r w:rsidR="009A7013" w:rsidRPr="009A7013">
        <w:rPr>
          <w:rFonts w:cstheme="minorHAnsi"/>
        </w:rPr>
        <w:t xml:space="preserve"> Exécutive</w:t>
      </w:r>
      <w:r w:rsidRPr="009A7013">
        <w:rPr>
          <w:rFonts w:cstheme="minorHAnsi"/>
        </w:rPr>
        <w:t xml:space="preserve"> de </w:t>
      </w:r>
      <w:r w:rsidR="009A7013" w:rsidRPr="009A7013">
        <w:rPr>
          <w:rFonts w:cstheme="minorHAnsi"/>
        </w:rPr>
        <w:t>l’UCMIT</w:t>
      </w:r>
      <w:r w:rsidRPr="009A7013">
        <w:rPr>
          <w:rFonts w:cstheme="minorHAnsi"/>
        </w:rPr>
        <w:t xml:space="preserve"> dans une première étape (phase pilote), et plus tard à répliquer, après l’avoir testé, </w:t>
      </w:r>
      <w:r w:rsidR="009A7013" w:rsidRPr="009A7013">
        <w:rPr>
          <w:rFonts w:cstheme="minorHAnsi"/>
        </w:rPr>
        <w:t xml:space="preserve">au niveau de la Direction </w:t>
      </w:r>
      <w:r w:rsidR="00F54AA8">
        <w:rPr>
          <w:rFonts w:cstheme="minorHAnsi"/>
        </w:rPr>
        <w:t>exécutive</w:t>
      </w:r>
      <w:r w:rsidR="009A7013" w:rsidRPr="009A7013">
        <w:rPr>
          <w:rFonts w:cstheme="minorHAnsi"/>
        </w:rPr>
        <w:t xml:space="preserve"> d</w:t>
      </w:r>
      <w:r w:rsidR="00F54AA8">
        <w:rPr>
          <w:rFonts w:cstheme="minorHAnsi"/>
        </w:rPr>
        <w:t>e l’UCMIT/</w:t>
      </w:r>
      <w:r w:rsidR="009A7013" w:rsidRPr="009A7013">
        <w:rPr>
          <w:rFonts w:cstheme="minorHAnsi"/>
        </w:rPr>
        <w:t>MSPP ainsi que l</w:t>
      </w:r>
      <w:r w:rsidR="00F54AA8">
        <w:rPr>
          <w:rFonts w:cstheme="minorHAnsi"/>
        </w:rPr>
        <w:t>a Direction générale</w:t>
      </w:r>
      <w:r w:rsidR="009A7013" w:rsidRPr="009A7013">
        <w:rPr>
          <w:rFonts w:cstheme="minorHAnsi"/>
        </w:rPr>
        <w:t xml:space="preserve"> du Ministre</w:t>
      </w:r>
      <w:r w:rsidRPr="009A7013">
        <w:rPr>
          <w:rFonts w:cstheme="minorHAnsi"/>
        </w:rPr>
        <w:t>, en vue d’avoir en temps réel l’état d’avancement des pro</w:t>
      </w:r>
      <w:r w:rsidR="009A7013" w:rsidRPr="009A7013">
        <w:rPr>
          <w:rFonts w:cstheme="minorHAnsi"/>
        </w:rPr>
        <w:t>grammes à toutes les étapes du cycle de ses</w:t>
      </w:r>
      <w:r w:rsidRPr="009A7013">
        <w:rPr>
          <w:rFonts w:cstheme="minorHAnsi"/>
        </w:rPr>
        <w:t xml:space="preserve"> projet</w:t>
      </w:r>
      <w:r w:rsidR="009A7013" w:rsidRPr="009A7013">
        <w:rPr>
          <w:rFonts w:cstheme="minorHAnsi"/>
        </w:rPr>
        <w:t>s</w:t>
      </w:r>
      <w:r w:rsidRPr="009A7013">
        <w:rPr>
          <w:rFonts w:cstheme="minorHAnsi"/>
        </w:rPr>
        <w:t xml:space="preserve"> et d’apprécier la performance des opérations et du staff en relation avec les objectifs de performance et les </w:t>
      </w:r>
      <w:proofErr w:type="spellStart"/>
      <w:r w:rsidRPr="009A7013">
        <w:rPr>
          <w:rFonts w:cstheme="minorHAnsi"/>
        </w:rPr>
        <w:t>KPIs</w:t>
      </w:r>
      <w:proofErr w:type="spellEnd"/>
      <w:r w:rsidRPr="009A7013">
        <w:rPr>
          <w:rFonts w:cstheme="minorHAnsi"/>
        </w:rPr>
        <w:t xml:space="preserve">. Ce dispositif servira également d’interface de partage d’information et de </w:t>
      </w:r>
      <w:proofErr w:type="spellStart"/>
      <w:r w:rsidRPr="009A7013">
        <w:rPr>
          <w:rFonts w:cstheme="minorHAnsi"/>
        </w:rPr>
        <w:t>reporting</w:t>
      </w:r>
      <w:proofErr w:type="spellEnd"/>
      <w:r w:rsidRPr="009A7013">
        <w:rPr>
          <w:rFonts w:cstheme="minorHAnsi"/>
        </w:rPr>
        <w:t xml:space="preserve"> avec les </w:t>
      </w:r>
      <w:r w:rsidR="009A7013" w:rsidRPr="009A7013">
        <w:rPr>
          <w:rFonts w:cstheme="minorHAnsi"/>
        </w:rPr>
        <w:t>trois programmes de l’UCMIT</w:t>
      </w:r>
      <w:r w:rsidRPr="009A7013">
        <w:rPr>
          <w:rFonts w:cstheme="minorHAnsi"/>
        </w:rPr>
        <w:t xml:space="preserve"> </w:t>
      </w:r>
      <w:r w:rsidR="009A7013" w:rsidRPr="009A7013">
        <w:rPr>
          <w:rFonts w:cstheme="minorHAnsi"/>
        </w:rPr>
        <w:t>qui exécutent les projets.</w:t>
      </w:r>
    </w:p>
    <w:p w:rsidR="0059016C" w:rsidRDefault="0059016C" w:rsidP="000D1093">
      <w:pPr>
        <w:jc w:val="both"/>
        <w:rPr>
          <w:rFonts w:cstheme="minorHAnsi"/>
        </w:rPr>
      </w:pPr>
      <w:r w:rsidRPr="009A7013">
        <w:rPr>
          <w:rFonts w:cstheme="minorHAnsi"/>
        </w:rPr>
        <w:t>2</w:t>
      </w:r>
      <w:r w:rsidR="009A7013" w:rsidRPr="009A7013">
        <w:rPr>
          <w:rFonts w:cstheme="minorHAnsi"/>
        </w:rPr>
        <w:t>.</w:t>
      </w:r>
      <w:r w:rsidRPr="009A7013">
        <w:rPr>
          <w:rFonts w:cstheme="minorHAnsi"/>
        </w:rPr>
        <w:t xml:space="preserve"> Plus spécifiquement cet</w:t>
      </w:r>
      <w:r w:rsidR="009A7013" w:rsidRPr="009A7013">
        <w:rPr>
          <w:rFonts w:cstheme="minorHAnsi"/>
        </w:rPr>
        <w:t>te prestation devra aider à: (a</w:t>
      </w:r>
      <w:r w:rsidRPr="009A7013">
        <w:rPr>
          <w:rFonts w:cstheme="minorHAnsi"/>
        </w:rPr>
        <w:t>) formuler le cadre méthodologique et conceptuel de ce dispositif de suivi-évaluation de la performance des projets, préparer le modèle conceptuel et identifier les spécifications techniques du système à mettre en place ; et (</w:t>
      </w:r>
      <w:r w:rsidR="009A7013" w:rsidRPr="009A7013">
        <w:rPr>
          <w:rFonts w:cstheme="minorHAnsi"/>
        </w:rPr>
        <w:t>b</w:t>
      </w:r>
      <w:r w:rsidRPr="009A7013">
        <w:rPr>
          <w:rFonts w:cstheme="minorHAnsi"/>
        </w:rPr>
        <w:t xml:space="preserve">) </w:t>
      </w:r>
      <w:r w:rsidR="00F54AA8">
        <w:rPr>
          <w:rFonts w:cstheme="minorHAnsi"/>
        </w:rPr>
        <w:t xml:space="preserve">Travailler de concert avec </w:t>
      </w:r>
      <w:r w:rsidRPr="009A7013">
        <w:rPr>
          <w:rFonts w:cstheme="minorHAnsi"/>
        </w:rPr>
        <w:t>un développeur qui aidera au développement du système à partir du modèle conceptuel.</w:t>
      </w:r>
    </w:p>
    <w:p w:rsidR="000D1093" w:rsidRPr="009A7013" w:rsidRDefault="000D1093" w:rsidP="000D1093">
      <w:pPr>
        <w:jc w:val="both"/>
        <w:rPr>
          <w:rFonts w:cstheme="minorHAnsi"/>
        </w:rPr>
      </w:pPr>
    </w:p>
    <w:p w:rsidR="00074A90" w:rsidRPr="009A7013" w:rsidRDefault="00074A90" w:rsidP="000D1093">
      <w:pPr>
        <w:pStyle w:val="ListParagraph"/>
        <w:numPr>
          <w:ilvl w:val="0"/>
          <w:numId w:val="7"/>
        </w:numPr>
        <w:spacing w:after="0" w:line="240" w:lineRule="auto"/>
        <w:jc w:val="both"/>
        <w:rPr>
          <w:rFonts w:eastAsia="Times New Roman" w:cstheme="minorHAnsi"/>
          <w:b/>
          <w:u w:val="single"/>
        </w:rPr>
      </w:pPr>
      <w:r w:rsidRPr="009A7013">
        <w:rPr>
          <w:rFonts w:eastAsia="Times New Roman" w:cstheme="minorHAnsi"/>
          <w:b/>
          <w:u w:val="single"/>
        </w:rPr>
        <w:t>Porté de la mission</w:t>
      </w:r>
      <w:r w:rsidRPr="009A7013">
        <w:rPr>
          <w:rFonts w:eastAsia="Times New Roman" w:cstheme="minorHAnsi"/>
        </w:rPr>
        <w:t xml:space="preserve"> </w:t>
      </w:r>
    </w:p>
    <w:p w:rsidR="009A7013" w:rsidRPr="009A7013" w:rsidRDefault="009A7013" w:rsidP="000D1093">
      <w:pPr>
        <w:spacing w:after="0" w:line="240" w:lineRule="auto"/>
        <w:jc w:val="both"/>
        <w:rPr>
          <w:rFonts w:eastAsia="Times New Roman" w:cstheme="minorHAnsi"/>
        </w:rPr>
      </w:pPr>
    </w:p>
    <w:p w:rsidR="00074A90" w:rsidRPr="009A7013" w:rsidRDefault="00074A90" w:rsidP="000D1093">
      <w:pPr>
        <w:spacing w:after="0" w:line="240" w:lineRule="auto"/>
        <w:jc w:val="both"/>
        <w:rPr>
          <w:rFonts w:eastAsia="Times New Roman" w:cstheme="minorHAnsi"/>
        </w:rPr>
      </w:pPr>
      <w:r w:rsidRPr="009A7013">
        <w:rPr>
          <w:rFonts w:eastAsia="Times New Roman" w:cstheme="minorHAnsi"/>
        </w:rPr>
        <w:t xml:space="preserve">Sous la direction du </w:t>
      </w:r>
      <w:r w:rsidR="009A7013" w:rsidRPr="009A7013">
        <w:rPr>
          <w:rFonts w:eastAsia="Times New Roman" w:cstheme="minorHAnsi"/>
        </w:rPr>
        <w:t xml:space="preserve">Directeur Exécutif de l’UCMIT/MSPP </w:t>
      </w:r>
      <w:r w:rsidRPr="009A7013">
        <w:rPr>
          <w:rFonts w:eastAsia="Times New Roman" w:cstheme="minorHAnsi"/>
        </w:rPr>
        <w:t>et l</w:t>
      </w:r>
      <w:r w:rsidR="009A7013" w:rsidRPr="009A7013">
        <w:rPr>
          <w:rFonts w:eastAsia="Times New Roman" w:cstheme="minorHAnsi"/>
        </w:rPr>
        <w:t>es</w:t>
      </w:r>
      <w:r w:rsidRPr="009A7013">
        <w:rPr>
          <w:rFonts w:eastAsia="Times New Roman" w:cstheme="minorHAnsi"/>
        </w:rPr>
        <w:t xml:space="preserve"> Coordination</w:t>
      </w:r>
      <w:r w:rsidR="009A7013" w:rsidRPr="009A7013">
        <w:rPr>
          <w:rFonts w:eastAsia="Times New Roman" w:cstheme="minorHAnsi"/>
        </w:rPr>
        <w:t xml:space="preserve">s techniques </w:t>
      </w:r>
      <w:r w:rsidRPr="009A7013">
        <w:rPr>
          <w:rFonts w:eastAsia="Times New Roman" w:cstheme="minorHAnsi"/>
        </w:rPr>
        <w:t>de</w:t>
      </w:r>
      <w:r w:rsidR="009A7013" w:rsidRPr="009A7013">
        <w:rPr>
          <w:rFonts w:eastAsia="Times New Roman" w:cstheme="minorHAnsi"/>
        </w:rPr>
        <w:t xml:space="preserve">s programmes, </w:t>
      </w:r>
      <w:r w:rsidRPr="009A7013">
        <w:rPr>
          <w:rFonts w:eastAsia="Times New Roman" w:cstheme="minorHAnsi"/>
        </w:rPr>
        <w:t>le consultant supportera la conce</w:t>
      </w:r>
      <w:r w:rsidR="00A11E14">
        <w:rPr>
          <w:rFonts w:eastAsia="Times New Roman" w:cstheme="minorHAnsi"/>
        </w:rPr>
        <w:t xml:space="preserve">ption et la mise en place d’un tableau de bord de visualisation </w:t>
      </w:r>
      <w:r w:rsidR="00853071">
        <w:rPr>
          <w:rFonts w:eastAsia="Times New Roman" w:cstheme="minorHAnsi"/>
        </w:rPr>
        <w:t xml:space="preserve">intégré </w:t>
      </w:r>
      <w:r w:rsidRPr="009A7013">
        <w:rPr>
          <w:rFonts w:eastAsia="Times New Roman" w:cstheme="minorHAnsi"/>
        </w:rPr>
        <w:t>de suivi-évaluation, en apportant un appui méthodologique lors du diagnostic de la situation, la capitalisation des enseignements, la formulation des princip</w:t>
      </w:r>
      <w:r w:rsidR="00853071">
        <w:rPr>
          <w:rFonts w:eastAsia="Times New Roman" w:cstheme="minorHAnsi"/>
        </w:rPr>
        <w:t>es conceptuels, la conception du tableau de bord</w:t>
      </w:r>
      <w:r w:rsidRPr="009A7013">
        <w:rPr>
          <w:rFonts w:eastAsia="Times New Roman" w:cstheme="minorHAnsi"/>
        </w:rPr>
        <w:t>, l’appui à la mise en place et la formation des utilisateurs. Dans ce contexte, il entreprendra particulièrement les tâches suivantes:</w:t>
      </w:r>
    </w:p>
    <w:p w:rsidR="00074A90" w:rsidRPr="009A7013" w:rsidRDefault="009A7013" w:rsidP="000D1093">
      <w:pPr>
        <w:spacing w:after="0" w:line="240" w:lineRule="auto"/>
        <w:ind w:firstLine="720"/>
        <w:jc w:val="both"/>
        <w:rPr>
          <w:rFonts w:eastAsia="Times New Roman" w:cstheme="minorHAnsi"/>
        </w:rPr>
      </w:pPr>
      <w:r w:rsidRPr="009A7013">
        <w:rPr>
          <w:rFonts w:eastAsia="Times New Roman" w:cstheme="minorHAnsi"/>
        </w:rPr>
        <w:t>a)</w:t>
      </w:r>
      <w:r w:rsidR="00074A90" w:rsidRPr="009A7013">
        <w:rPr>
          <w:rFonts w:eastAsia="Times New Roman" w:cstheme="minorHAnsi"/>
        </w:rPr>
        <w:t xml:space="preserve"> Diagnostic de la situation, état des lieux et formulation des principes conceptuels Cette séquence clé en termes de repérage des contraintes, des forces et des faiblesses, des goulots d’étranglement, des améliorations à introduire, regroupe principalement et à titre indicatif les tâches suivantes: La collecte et l’analyse de la documentation liée aux opérations de</w:t>
      </w:r>
      <w:r w:rsidRPr="009A7013">
        <w:rPr>
          <w:rFonts w:eastAsia="Times New Roman" w:cstheme="minorHAnsi"/>
        </w:rPr>
        <w:t>s différents bailleurs et partenaires</w:t>
      </w:r>
      <w:r w:rsidR="00074A90" w:rsidRPr="009A7013">
        <w:rPr>
          <w:rFonts w:eastAsia="Times New Roman" w:cstheme="minorHAnsi"/>
        </w:rPr>
        <w:t>; L’analyse de l’existant par la conduite des sessions de travail individuels et des ateliers de consultation collectives pour le diagnostic et la délimitation de la problématique de gestion des projets, du suivi des tâches; La formulation des principes conceptuels pour la mise en place de la plateforme intégrée de suivi-évaluation;</w:t>
      </w:r>
    </w:p>
    <w:p w:rsidR="009A7013" w:rsidRPr="009A7013" w:rsidRDefault="009A7013" w:rsidP="000D1093">
      <w:pPr>
        <w:spacing w:after="0" w:line="240" w:lineRule="auto"/>
        <w:ind w:firstLine="720"/>
        <w:jc w:val="both"/>
        <w:rPr>
          <w:rFonts w:eastAsia="Times New Roman" w:cstheme="minorHAnsi"/>
        </w:rPr>
      </w:pPr>
      <w:r w:rsidRPr="009A7013">
        <w:rPr>
          <w:rFonts w:eastAsia="Times New Roman" w:cstheme="minorHAnsi"/>
        </w:rPr>
        <w:t>b)</w:t>
      </w:r>
      <w:r w:rsidR="00484095">
        <w:rPr>
          <w:rFonts w:eastAsia="Times New Roman" w:cstheme="minorHAnsi"/>
        </w:rPr>
        <w:t xml:space="preserve"> Con</w:t>
      </w:r>
      <w:r w:rsidR="004F563E">
        <w:rPr>
          <w:rFonts w:eastAsia="Times New Roman" w:cstheme="minorHAnsi"/>
        </w:rPr>
        <w:t xml:space="preserve">ception d’un Tableau de Bord </w:t>
      </w:r>
      <w:r w:rsidR="00484095">
        <w:rPr>
          <w:rFonts w:eastAsia="Times New Roman" w:cstheme="minorHAnsi"/>
        </w:rPr>
        <w:t xml:space="preserve">Intégré. </w:t>
      </w:r>
      <w:r w:rsidR="00074A90" w:rsidRPr="009A7013">
        <w:rPr>
          <w:rFonts w:eastAsia="Times New Roman" w:cstheme="minorHAnsi"/>
        </w:rPr>
        <w:t xml:space="preserve">Cette séquence est </w:t>
      </w:r>
      <w:r w:rsidR="00484095">
        <w:rPr>
          <w:rFonts w:eastAsia="Times New Roman" w:cstheme="minorHAnsi"/>
        </w:rPr>
        <w:t>concentrée sur la conception d’un Tableau de Bord</w:t>
      </w:r>
      <w:r w:rsidR="00074A90" w:rsidRPr="009A7013">
        <w:rPr>
          <w:rFonts w:eastAsia="Times New Roman" w:cstheme="minorHAnsi"/>
        </w:rPr>
        <w:t xml:space="preserve"> issue de la valorisation des résultats du diagnostic et la problématique posée et </w:t>
      </w:r>
      <w:r w:rsidR="00074A90" w:rsidRPr="009A7013">
        <w:rPr>
          <w:rFonts w:eastAsia="Times New Roman" w:cstheme="minorHAnsi"/>
        </w:rPr>
        <w:lastRenderedPageBreak/>
        <w:t>regroupe à titre indicatif les principales tâches suivantes: La définition de l’architecture, de la conception et de la solution adéquate conformément aux consignes internes de sécurité, d’architecture d’entreprise, de gestion du changement, d’assurance qualité, de support, de formation; La conception des supports d’accompag</w:t>
      </w:r>
      <w:r w:rsidR="00484095">
        <w:rPr>
          <w:rFonts w:eastAsia="Times New Roman" w:cstheme="minorHAnsi"/>
        </w:rPr>
        <w:t xml:space="preserve">nement et de consolidation de ce </w:t>
      </w:r>
      <w:r w:rsidR="00074A90" w:rsidRPr="009A7013">
        <w:rPr>
          <w:rFonts w:eastAsia="Times New Roman" w:cstheme="minorHAnsi"/>
        </w:rPr>
        <w:t xml:space="preserve">dite </w:t>
      </w:r>
      <w:r w:rsidR="00484095">
        <w:rPr>
          <w:rFonts w:eastAsia="Times New Roman" w:cstheme="minorHAnsi"/>
        </w:rPr>
        <w:t>Tableau de Bord</w:t>
      </w:r>
      <w:r w:rsidRPr="009A7013">
        <w:rPr>
          <w:rFonts w:eastAsia="Times New Roman" w:cstheme="minorHAnsi"/>
        </w:rPr>
        <w:t>.</w:t>
      </w:r>
    </w:p>
    <w:p w:rsidR="009A7013" w:rsidRDefault="009A7013" w:rsidP="000D1093">
      <w:pPr>
        <w:spacing w:after="0" w:line="240" w:lineRule="auto"/>
        <w:jc w:val="both"/>
        <w:rPr>
          <w:rFonts w:eastAsia="Times New Roman" w:cstheme="minorHAnsi"/>
        </w:rPr>
      </w:pPr>
    </w:p>
    <w:p w:rsidR="000D1093" w:rsidRPr="009A7013" w:rsidRDefault="000D1093" w:rsidP="000D1093">
      <w:pPr>
        <w:spacing w:after="0" w:line="240" w:lineRule="auto"/>
        <w:jc w:val="both"/>
        <w:rPr>
          <w:rFonts w:eastAsia="Times New Roman" w:cstheme="minorHAnsi"/>
        </w:rPr>
      </w:pPr>
    </w:p>
    <w:p w:rsidR="009A7013" w:rsidRPr="009A7013" w:rsidRDefault="009A7013" w:rsidP="000D1093">
      <w:pPr>
        <w:pStyle w:val="ListParagraph"/>
        <w:numPr>
          <w:ilvl w:val="0"/>
          <w:numId w:val="7"/>
        </w:numPr>
        <w:spacing w:after="0" w:line="240" w:lineRule="auto"/>
        <w:jc w:val="both"/>
        <w:rPr>
          <w:rFonts w:eastAsia="Times New Roman" w:cstheme="minorHAnsi"/>
          <w:b/>
          <w:u w:val="single"/>
        </w:rPr>
      </w:pPr>
      <w:r w:rsidRPr="009A7013">
        <w:rPr>
          <w:rFonts w:eastAsia="Times New Roman" w:cstheme="minorHAnsi"/>
          <w:b/>
          <w:u w:val="single"/>
        </w:rPr>
        <w:t>Taches spécifiques du consultant</w:t>
      </w:r>
    </w:p>
    <w:p w:rsidR="009A7013" w:rsidRPr="009A7013" w:rsidRDefault="009A7013" w:rsidP="000D1093">
      <w:pPr>
        <w:spacing w:after="0" w:line="240" w:lineRule="auto"/>
        <w:jc w:val="both"/>
        <w:rPr>
          <w:rFonts w:eastAsia="Times New Roman" w:cstheme="minorHAnsi"/>
        </w:rPr>
      </w:pPr>
    </w:p>
    <w:p w:rsidR="009A7013" w:rsidRPr="009A7013" w:rsidRDefault="00F910B0" w:rsidP="000D1093">
      <w:pPr>
        <w:spacing w:after="0" w:line="240" w:lineRule="auto"/>
        <w:jc w:val="both"/>
        <w:rPr>
          <w:rFonts w:eastAsia="Times New Roman" w:cstheme="minorHAnsi"/>
        </w:rPr>
      </w:pPr>
      <w:r>
        <w:rPr>
          <w:rFonts w:eastAsia="Times New Roman" w:cstheme="minorHAnsi"/>
        </w:rPr>
        <w:t>Elaboration</w:t>
      </w:r>
      <w:r w:rsidR="00853071">
        <w:rPr>
          <w:rFonts w:eastAsia="Times New Roman" w:cstheme="minorHAnsi"/>
        </w:rPr>
        <w:t xml:space="preserve"> d’</w:t>
      </w:r>
      <w:r>
        <w:rPr>
          <w:rFonts w:eastAsia="Times New Roman" w:cstheme="minorHAnsi"/>
        </w:rPr>
        <w:t>un protocole pour la mise à jour et l’alimentation du tableau de bord</w:t>
      </w:r>
      <w:r w:rsidR="00074A90" w:rsidRPr="009A7013">
        <w:rPr>
          <w:rFonts w:eastAsia="Times New Roman" w:cstheme="minorHAnsi"/>
        </w:rPr>
        <w:t xml:space="preserve"> en gestion </w:t>
      </w:r>
      <w:r w:rsidR="009A7013" w:rsidRPr="009A7013">
        <w:rPr>
          <w:rFonts w:eastAsia="Times New Roman" w:cstheme="minorHAnsi"/>
        </w:rPr>
        <w:t xml:space="preserve">stratégique </w:t>
      </w:r>
      <w:r w:rsidR="00074A90" w:rsidRPr="009A7013">
        <w:rPr>
          <w:rFonts w:eastAsia="Times New Roman" w:cstheme="minorHAnsi"/>
        </w:rPr>
        <w:t>de projets et systèmes d’informations accordant une priorité et une contin</w:t>
      </w:r>
      <w:r w:rsidR="00484095">
        <w:rPr>
          <w:rFonts w:eastAsia="Times New Roman" w:cstheme="minorHAnsi"/>
        </w:rPr>
        <w:t>uité aux modules suivants de ce Tableau de Bord</w:t>
      </w:r>
      <w:r w:rsidR="00074A90" w:rsidRPr="009A7013">
        <w:rPr>
          <w:rFonts w:eastAsia="Times New Roman" w:cstheme="minorHAnsi"/>
        </w:rPr>
        <w:t xml:space="preserve">: </w:t>
      </w:r>
    </w:p>
    <w:p w:rsidR="009A7013" w:rsidRPr="009A7013" w:rsidRDefault="009A7013" w:rsidP="000D1093">
      <w:pPr>
        <w:spacing w:after="0" w:line="240" w:lineRule="auto"/>
        <w:ind w:firstLine="720"/>
        <w:jc w:val="both"/>
        <w:rPr>
          <w:rFonts w:eastAsia="Times New Roman" w:cstheme="minorHAnsi"/>
        </w:rPr>
      </w:pPr>
      <w:r w:rsidRPr="009A7013">
        <w:rPr>
          <w:rFonts w:eastAsia="Times New Roman" w:cstheme="minorHAnsi"/>
        </w:rPr>
        <w:t>1.</w:t>
      </w:r>
      <w:r w:rsidR="00074A90" w:rsidRPr="009A7013">
        <w:rPr>
          <w:rFonts w:eastAsia="Times New Roman" w:cstheme="minorHAnsi"/>
        </w:rPr>
        <w:t xml:space="preserve"> suivi-évaluation de la performance du portefeuille et des impacts des opérations de </w:t>
      </w:r>
      <w:r w:rsidRPr="009A7013">
        <w:rPr>
          <w:rFonts w:eastAsia="Times New Roman" w:cstheme="minorHAnsi"/>
        </w:rPr>
        <w:t>l’UCMIT/MSPP</w:t>
      </w:r>
      <w:r w:rsidR="00074A90" w:rsidRPr="009A7013">
        <w:rPr>
          <w:rFonts w:eastAsia="Times New Roman" w:cstheme="minorHAnsi"/>
        </w:rPr>
        <w:t>;</w:t>
      </w:r>
    </w:p>
    <w:p w:rsidR="009A7013" w:rsidRPr="009A7013" w:rsidRDefault="009A7013" w:rsidP="000D1093">
      <w:pPr>
        <w:spacing w:after="0" w:line="240" w:lineRule="auto"/>
        <w:ind w:firstLine="720"/>
        <w:jc w:val="both"/>
        <w:rPr>
          <w:rFonts w:eastAsia="Times New Roman" w:cstheme="minorHAnsi"/>
        </w:rPr>
      </w:pPr>
      <w:r w:rsidRPr="009A7013">
        <w:rPr>
          <w:rFonts w:eastAsia="Times New Roman" w:cstheme="minorHAnsi"/>
        </w:rPr>
        <w:t>2.</w:t>
      </w:r>
      <w:r w:rsidR="00074A90" w:rsidRPr="009A7013">
        <w:rPr>
          <w:rFonts w:eastAsia="Times New Roman" w:cstheme="minorHAnsi"/>
        </w:rPr>
        <w:t xml:space="preserve"> suivi des tâches du personnel; </w:t>
      </w:r>
    </w:p>
    <w:p w:rsidR="009A7013" w:rsidRPr="009A7013" w:rsidRDefault="009A7013" w:rsidP="000D1093">
      <w:pPr>
        <w:spacing w:after="0" w:line="240" w:lineRule="auto"/>
        <w:ind w:firstLine="720"/>
        <w:jc w:val="both"/>
        <w:rPr>
          <w:rFonts w:eastAsia="Times New Roman" w:cstheme="minorHAnsi"/>
        </w:rPr>
      </w:pPr>
      <w:r w:rsidRPr="009A7013">
        <w:rPr>
          <w:rFonts w:eastAsia="Times New Roman" w:cstheme="minorHAnsi"/>
        </w:rPr>
        <w:t>3.</w:t>
      </w:r>
      <w:r w:rsidR="00074A90" w:rsidRPr="009A7013">
        <w:rPr>
          <w:rFonts w:eastAsia="Times New Roman" w:cstheme="minorHAnsi"/>
        </w:rPr>
        <w:t xml:space="preserve"> suivi-évaluation de la performance du staff comparée aux </w:t>
      </w:r>
      <w:proofErr w:type="spellStart"/>
      <w:r w:rsidR="00074A90" w:rsidRPr="009A7013">
        <w:rPr>
          <w:rFonts w:eastAsia="Times New Roman" w:cstheme="minorHAnsi"/>
        </w:rPr>
        <w:t>KPIs</w:t>
      </w:r>
      <w:proofErr w:type="spellEnd"/>
      <w:r w:rsidR="00074A90" w:rsidRPr="009A7013">
        <w:rPr>
          <w:rFonts w:eastAsia="Times New Roman" w:cstheme="minorHAnsi"/>
        </w:rPr>
        <w:t xml:space="preserve"> de </w:t>
      </w:r>
      <w:r w:rsidRPr="009A7013">
        <w:rPr>
          <w:rFonts w:eastAsia="Times New Roman" w:cstheme="minorHAnsi"/>
        </w:rPr>
        <w:t>l’UCMIT/MSPP</w:t>
      </w:r>
      <w:r w:rsidR="00074A90" w:rsidRPr="009A7013">
        <w:rPr>
          <w:rFonts w:eastAsia="Times New Roman" w:cstheme="minorHAnsi"/>
        </w:rPr>
        <w:t xml:space="preserve"> et de</w:t>
      </w:r>
      <w:r w:rsidRPr="009A7013">
        <w:rPr>
          <w:rFonts w:eastAsia="Times New Roman" w:cstheme="minorHAnsi"/>
        </w:rPr>
        <w:t xml:space="preserve">s </w:t>
      </w:r>
      <w:r w:rsidR="00074A90" w:rsidRPr="009A7013">
        <w:rPr>
          <w:rFonts w:eastAsia="Times New Roman" w:cstheme="minorHAnsi"/>
        </w:rPr>
        <w:t>B</w:t>
      </w:r>
      <w:r w:rsidRPr="009A7013">
        <w:rPr>
          <w:rFonts w:eastAsia="Times New Roman" w:cstheme="minorHAnsi"/>
        </w:rPr>
        <w:t>ailleurs de fonds</w:t>
      </w:r>
      <w:r w:rsidR="00074A90" w:rsidRPr="009A7013">
        <w:rPr>
          <w:rFonts w:eastAsia="Times New Roman" w:cstheme="minorHAnsi"/>
        </w:rPr>
        <w:t xml:space="preserve">. Ceci en cohérence avec les applications existantes </w:t>
      </w:r>
      <w:r w:rsidRPr="009A7013">
        <w:rPr>
          <w:rFonts w:eastAsia="Times New Roman" w:cstheme="minorHAnsi"/>
        </w:rPr>
        <w:t>au sein de l’UCMIT/MSPP</w:t>
      </w:r>
      <w:r w:rsidR="00074A90" w:rsidRPr="009A7013">
        <w:rPr>
          <w:rFonts w:eastAsia="Times New Roman" w:cstheme="minorHAnsi"/>
        </w:rPr>
        <w:t xml:space="preserve">; </w:t>
      </w:r>
    </w:p>
    <w:p w:rsidR="009A7013" w:rsidRPr="009A7013" w:rsidRDefault="009A7013" w:rsidP="000D1093">
      <w:pPr>
        <w:spacing w:after="0" w:line="240" w:lineRule="auto"/>
        <w:ind w:firstLine="720"/>
        <w:jc w:val="both"/>
        <w:rPr>
          <w:rFonts w:eastAsia="Times New Roman" w:cstheme="minorHAnsi"/>
        </w:rPr>
      </w:pPr>
      <w:r w:rsidRPr="009A7013">
        <w:rPr>
          <w:rFonts w:eastAsia="Times New Roman" w:cstheme="minorHAnsi"/>
        </w:rPr>
        <w:t xml:space="preserve">3.1 </w:t>
      </w:r>
      <w:r w:rsidR="00074A90" w:rsidRPr="009A7013">
        <w:rPr>
          <w:rFonts w:eastAsia="Times New Roman" w:cstheme="minorHAnsi"/>
        </w:rPr>
        <w:t>La conception des plans de test des systèmes et des programmes afin de vérifier le bon fonctionnement de l’application;</w:t>
      </w:r>
      <w:r w:rsidRPr="009A7013">
        <w:rPr>
          <w:rFonts w:eastAsia="Times New Roman" w:cstheme="minorHAnsi"/>
        </w:rPr>
        <w:t xml:space="preserve"> </w:t>
      </w:r>
    </w:p>
    <w:p w:rsidR="009A7013" w:rsidRPr="009A7013" w:rsidRDefault="009A7013" w:rsidP="000D1093">
      <w:pPr>
        <w:spacing w:after="0" w:line="240" w:lineRule="auto"/>
        <w:ind w:firstLine="720"/>
        <w:jc w:val="both"/>
        <w:rPr>
          <w:rFonts w:eastAsia="Times New Roman" w:cstheme="minorHAnsi"/>
        </w:rPr>
      </w:pPr>
      <w:r w:rsidRPr="009A7013">
        <w:rPr>
          <w:rFonts w:eastAsia="Times New Roman" w:cstheme="minorHAnsi"/>
        </w:rPr>
        <w:t>3.2</w:t>
      </w:r>
      <w:r w:rsidR="00074A90" w:rsidRPr="009A7013">
        <w:rPr>
          <w:rFonts w:eastAsia="Times New Roman" w:cstheme="minorHAnsi"/>
        </w:rPr>
        <w:t xml:space="preserve"> La production du rapport de conception et des supports utiles traduisant la solution appropriée aux résultats du diagnostic et à la problématique posée;</w:t>
      </w:r>
      <w:r w:rsidRPr="009A7013">
        <w:rPr>
          <w:rFonts w:eastAsia="Times New Roman" w:cstheme="minorHAnsi"/>
        </w:rPr>
        <w:t xml:space="preserve"> </w:t>
      </w:r>
    </w:p>
    <w:p w:rsidR="009A7013" w:rsidRPr="009A7013" w:rsidRDefault="009A7013" w:rsidP="000D1093">
      <w:pPr>
        <w:spacing w:after="0" w:line="240" w:lineRule="auto"/>
        <w:ind w:firstLine="720"/>
        <w:jc w:val="both"/>
        <w:rPr>
          <w:rFonts w:eastAsia="Times New Roman" w:cstheme="minorHAnsi"/>
        </w:rPr>
      </w:pPr>
      <w:r w:rsidRPr="009A7013">
        <w:rPr>
          <w:rFonts w:eastAsia="Times New Roman" w:cstheme="minorHAnsi"/>
        </w:rPr>
        <w:t>3.3</w:t>
      </w:r>
      <w:r w:rsidR="00074A90" w:rsidRPr="009A7013">
        <w:rPr>
          <w:rFonts w:eastAsia="Times New Roman" w:cstheme="minorHAnsi"/>
        </w:rPr>
        <w:t xml:space="preserve"> La valorisation des avancées technologiques et d’innovation et l’application des normes et des meilleures pratiques pour la conception de l’application; </w:t>
      </w:r>
    </w:p>
    <w:p w:rsidR="00074A90" w:rsidRPr="009A7013" w:rsidRDefault="009A7013" w:rsidP="000D1093">
      <w:pPr>
        <w:spacing w:after="0" w:line="240" w:lineRule="auto"/>
        <w:ind w:firstLine="720"/>
        <w:jc w:val="both"/>
        <w:rPr>
          <w:rFonts w:eastAsia="Times New Roman" w:cstheme="minorHAnsi"/>
        </w:rPr>
      </w:pPr>
      <w:r w:rsidRPr="009A7013">
        <w:rPr>
          <w:rFonts w:eastAsia="Times New Roman" w:cstheme="minorHAnsi"/>
        </w:rPr>
        <w:t xml:space="preserve">3.4 </w:t>
      </w:r>
      <w:r w:rsidR="00074A90" w:rsidRPr="009A7013">
        <w:rPr>
          <w:rFonts w:eastAsia="Times New Roman" w:cstheme="minorHAnsi"/>
        </w:rPr>
        <w:t>La validation des résultats du diagnostic avec les parties prenantes.</w:t>
      </w:r>
    </w:p>
    <w:p w:rsidR="009A7013" w:rsidRPr="009A7013" w:rsidRDefault="009A7013" w:rsidP="000D1093">
      <w:pPr>
        <w:spacing w:after="0" w:line="240" w:lineRule="auto"/>
        <w:jc w:val="both"/>
        <w:rPr>
          <w:rFonts w:eastAsia="Times New Roman" w:cstheme="minorHAnsi"/>
        </w:rPr>
      </w:pPr>
    </w:p>
    <w:p w:rsidR="009A7013" w:rsidRDefault="009A7013" w:rsidP="000D1093">
      <w:pPr>
        <w:spacing w:after="0" w:line="240" w:lineRule="auto"/>
        <w:ind w:firstLine="720"/>
        <w:jc w:val="both"/>
        <w:rPr>
          <w:rFonts w:eastAsia="Times New Roman" w:cstheme="minorHAnsi"/>
        </w:rPr>
      </w:pPr>
      <w:r>
        <w:rPr>
          <w:rFonts w:eastAsia="Times New Roman" w:cstheme="minorHAnsi"/>
        </w:rPr>
        <w:t>4.</w:t>
      </w:r>
      <w:r w:rsidR="00074A90" w:rsidRPr="009A7013">
        <w:rPr>
          <w:rFonts w:eastAsia="Times New Roman" w:cstheme="minorHAnsi"/>
        </w:rPr>
        <w:t xml:space="preserve"> Appui à la phase de </w:t>
      </w:r>
      <w:r w:rsidRPr="009A7013">
        <w:rPr>
          <w:rFonts w:eastAsia="Times New Roman" w:cstheme="minorHAnsi"/>
        </w:rPr>
        <w:t xml:space="preserve">développement. </w:t>
      </w:r>
      <w:r w:rsidR="00074A90" w:rsidRPr="009A7013">
        <w:rPr>
          <w:rFonts w:eastAsia="Times New Roman" w:cstheme="minorHAnsi"/>
        </w:rPr>
        <w:t>Cette séquence finale, vi</w:t>
      </w:r>
      <w:r w:rsidR="00306649">
        <w:rPr>
          <w:rFonts w:eastAsia="Times New Roman" w:cstheme="minorHAnsi"/>
        </w:rPr>
        <w:t>se une meilleure appropriation du Tableau de bord</w:t>
      </w:r>
      <w:r w:rsidR="00074A90" w:rsidRPr="009A7013">
        <w:rPr>
          <w:rFonts w:eastAsia="Times New Roman" w:cstheme="minorHAnsi"/>
        </w:rPr>
        <w:t xml:space="preserve"> </w:t>
      </w:r>
      <w:r w:rsidR="00A11E14">
        <w:rPr>
          <w:rFonts w:eastAsia="Times New Roman" w:cstheme="minorHAnsi"/>
        </w:rPr>
        <w:t xml:space="preserve">de visualisation </w:t>
      </w:r>
      <w:r w:rsidR="00306649">
        <w:rPr>
          <w:rFonts w:eastAsia="Times New Roman" w:cstheme="minorHAnsi"/>
        </w:rPr>
        <w:t xml:space="preserve">intégré </w:t>
      </w:r>
      <w:r w:rsidR="00F54AA8">
        <w:rPr>
          <w:rFonts w:eastAsia="Times New Roman" w:cstheme="minorHAnsi"/>
        </w:rPr>
        <w:t>par les utilisateurs</w:t>
      </w:r>
      <w:r w:rsidR="00074A90" w:rsidRPr="009A7013">
        <w:rPr>
          <w:rFonts w:eastAsia="Times New Roman" w:cstheme="minorHAnsi"/>
        </w:rPr>
        <w:t xml:space="preserve"> </w:t>
      </w:r>
      <w:r w:rsidR="00F54AA8">
        <w:rPr>
          <w:rFonts w:eastAsia="Times New Roman" w:cstheme="minorHAnsi"/>
        </w:rPr>
        <w:t>d</w:t>
      </w:r>
      <w:r w:rsidR="00306649">
        <w:rPr>
          <w:rFonts w:eastAsia="Times New Roman" w:cstheme="minorHAnsi"/>
        </w:rPr>
        <w:t xml:space="preserve">e concert avec le </w:t>
      </w:r>
      <w:r w:rsidR="00074A90" w:rsidRPr="009A7013">
        <w:rPr>
          <w:rFonts w:eastAsia="Times New Roman" w:cstheme="minorHAnsi"/>
        </w:rPr>
        <w:t>développeur des systèmes m</w:t>
      </w:r>
      <w:r w:rsidR="00306649">
        <w:rPr>
          <w:rFonts w:eastAsia="Times New Roman" w:cstheme="minorHAnsi"/>
        </w:rPr>
        <w:t>ettre en œuvre le Tableau de bord intégré de l’UCMIT</w:t>
      </w:r>
      <w:r w:rsidRPr="009A7013">
        <w:rPr>
          <w:rFonts w:eastAsia="Times New Roman" w:cstheme="minorHAnsi"/>
        </w:rPr>
        <w:t>.</w:t>
      </w:r>
    </w:p>
    <w:p w:rsidR="000D1093" w:rsidRPr="009A7013" w:rsidRDefault="000D1093" w:rsidP="000D1093">
      <w:pPr>
        <w:spacing w:after="0" w:line="240" w:lineRule="auto"/>
        <w:ind w:firstLine="720"/>
        <w:jc w:val="both"/>
        <w:rPr>
          <w:rFonts w:eastAsia="Times New Roman" w:cstheme="minorHAnsi"/>
        </w:rPr>
      </w:pPr>
    </w:p>
    <w:p w:rsidR="009A7013" w:rsidRPr="009A7013" w:rsidRDefault="009A7013" w:rsidP="000D1093">
      <w:pPr>
        <w:spacing w:after="0" w:line="240" w:lineRule="auto"/>
        <w:jc w:val="both"/>
        <w:rPr>
          <w:rFonts w:eastAsia="Times New Roman" w:cstheme="minorHAnsi"/>
        </w:rPr>
      </w:pPr>
    </w:p>
    <w:p w:rsidR="00074A90" w:rsidRPr="009A7013" w:rsidRDefault="00074A90" w:rsidP="000D1093">
      <w:pPr>
        <w:pStyle w:val="ListParagraph"/>
        <w:numPr>
          <w:ilvl w:val="0"/>
          <w:numId w:val="7"/>
        </w:numPr>
        <w:spacing w:after="0" w:line="240" w:lineRule="auto"/>
        <w:jc w:val="both"/>
        <w:rPr>
          <w:rFonts w:eastAsia="Times New Roman" w:cstheme="minorHAnsi"/>
          <w:b/>
          <w:u w:val="single"/>
        </w:rPr>
      </w:pPr>
      <w:r w:rsidRPr="009A7013">
        <w:rPr>
          <w:rFonts w:eastAsia="Times New Roman" w:cstheme="minorHAnsi"/>
          <w:b/>
          <w:u w:val="single"/>
        </w:rPr>
        <w:t xml:space="preserve">Durée et déroulement de la mission </w:t>
      </w:r>
    </w:p>
    <w:p w:rsidR="009A7013" w:rsidRPr="009A7013" w:rsidRDefault="009A7013" w:rsidP="000D1093">
      <w:pPr>
        <w:spacing w:after="0" w:line="240" w:lineRule="auto"/>
        <w:jc w:val="both"/>
        <w:rPr>
          <w:rFonts w:eastAsia="Times New Roman" w:cstheme="minorHAnsi"/>
        </w:rPr>
      </w:pPr>
    </w:p>
    <w:p w:rsidR="009A7013" w:rsidRPr="009A7013" w:rsidRDefault="00074A90" w:rsidP="000D1093">
      <w:pPr>
        <w:spacing w:after="0" w:line="240" w:lineRule="auto"/>
        <w:ind w:firstLine="720"/>
        <w:jc w:val="both"/>
        <w:rPr>
          <w:rFonts w:eastAsia="Times New Roman" w:cstheme="minorHAnsi"/>
        </w:rPr>
      </w:pPr>
      <w:r w:rsidRPr="009A7013">
        <w:rPr>
          <w:rFonts w:eastAsia="Times New Roman" w:cstheme="minorHAnsi"/>
        </w:rPr>
        <w:t>4.1 La durée globale de la mission sera de 3</w:t>
      </w:r>
      <w:r w:rsidR="009A7013" w:rsidRPr="009A7013">
        <w:rPr>
          <w:rFonts w:eastAsia="Times New Roman" w:cstheme="minorHAnsi"/>
        </w:rPr>
        <w:t xml:space="preserve"> </w:t>
      </w:r>
      <w:r w:rsidRPr="009A7013">
        <w:rPr>
          <w:rFonts w:eastAsia="Times New Roman" w:cstheme="minorHAnsi"/>
        </w:rPr>
        <w:t>mois.</w:t>
      </w:r>
      <w:r w:rsidR="009A7013" w:rsidRPr="009A7013">
        <w:rPr>
          <w:rFonts w:eastAsia="Times New Roman" w:cstheme="minorHAnsi"/>
        </w:rPr>
        <w:t xml:space="preserve"> </w:t>
      </w:r>
      <w:r w:rsidRPr="009A7013">
        <w:rPr>
          <w:rFonts w:eastAsia="Times New Roman" w:cstheme="minorHAnsi"/>
        </w:rPr>
        <w:t>Elle sera répartie en trois</w:t>
      </w:r>
      <w:r w:rsidR="009A7013" w:rsidRPr="009A7013">
        <w:rPr>
          <w:rFonts w:eastAsia="Times New Roman" w:cstheme="minorHAnsi"/>
        </w:rPr>
        <w:t xml:space="preserve"> </w:t>
      </w:r>
      <w:r w:rsidRPr="009A7013">
        <w:rPr>
          <w:rFonts w:eastAsia="Times New Roman" w:cstheme="minorHAnsi"/>
        </w:rPr>
        <w:t>phases:</w:t>
      </w:r>
    </w:p>
    <w:p w:rsidR="00074A90" w:rsidRPr="009A7013" w:rsidRDefault="009A7013" w:rsidP="000D1093">
      <w:pPr>
        <w:spacing w:after="0" w:line="240" w:lineRule="auto"/>
        <w:jc w:val="both"/>
        <w:rPr>
          <w:rFonts w:eastAsia="Times New Roman" w:cstheme="minorHAnsi"/>
        </w:rPr>
      </w:pPr>
      <w:r w:rsidRPr="009A7013">
        <w:rPr>
          <w:rFonts w:eastAsia="Times New Roman" w:cstheme="minorHAnsi"/>
        </w:rPr>
        <w:t>a</w:t>
      </w:r>
      <w:r w:rsidR="00074A90" w:rsidRPr="009A7013">
        <w:rPr>
          <w:rFonts w:eastAsia="Times New Roman" w:cstheme="minorHAnsi"/>
        </w:rPr>
        <w:t>) une phase de diagnostic d’une durée d’un mois, qui sera soldée par une restitution avec le management (D</w:t>
      </w:r>
      <w:r w:rsidRPr="009A7013">
        <w:rPr>
          <w:rFonts w:eastAsia="Times New Roman" w:cstheme="minorHAnsi"/>
        </w:rPr>
        <w:t>irecteur Exécutif</w:t>
      </w:r>
      <w:r w:rsidR="00074A90" w:rsidRPr="009A7013">
        <w:rPr>
          <w:rFonts w:eastAsia="Times New Roman" w:cstheme="minorHAnsi"/>
        </w:rPr>
        <w:t xml:space="preserve">, </w:t>
      </w:r>
      <w:r w:rsidRPr="009A7013">
        <w:rPr>
          <w:rFonts w:eastAsia="Times New Roman" w:cstheme="minorHAnsi"/>
        </w:rPr>
        <w:t>Coordonnateurs des programmes</w:t>
      </w:r>
      <w:r w:rsidR="00074A90" w:rsidRPr="009A7013">
        <w:rPr>
          <w:rFonts w:eastAsia="Times New Roman" w:cstheme="minorHAnsi"/>
        </w:rPr>
        <w:t xml:space="preserve"> et </w:t>
      </w:r>
      <w:r w:rsidRPr="009A7013">
        <w:rPr>
          <w:rFonts w:eastAsia="Times New Roman" w:cstheme="minorHAnsi"/>
        </w:rPr>
        <w:t>le</w:t>
      </w:r>
      <w:r w:rsidR="00074A90" w:rsidRPr="009A7013">
        <w:rPr>
          <w:rFonts w:eastAsia="Times New Roman" w:cstheme="minorHAnsi"/>
        </w:rPr>
        <w:t>s</w:t>
      </w:r>
      <w:r w:rsidRPr="009A7013">
        <w:rPr>
          <w:rFonts w:eastAsia="Times New Roman" w:cstheme="minorHAnsi"/>
        </w:rPr>
        <w:t xml:space="preserve"> chefs de services</w:t>
      </w:r>
      <w:r w:rsidR="00074A90" w:rsidRPr="009A7013">
        <w:rPr>
          <w:rFonts w:eastAsia="Times New Roman" w:cstheme="minorHAnsi"/>
        </w:rPr>
        <w:t xml:space="preserve">), et les </w:t>
      </w:r>
      <w:r w:rsidRPr="009A7013">
        <w:rPr>
          <w:rFonts w:eastAsia="Times New Roman" w:cstheme="minorHAnsi"/>
        </w:rPr>
        <w:t>directions départementales</w:t>
      </w:r>
      <w:r w:rsidR="00074A90" w:rsidRPr="009A7013">
        <w:rPr>
          <w:rFonts w:eastAsia="Times New Roman" w:cstheme="minorHAnsi"/>
        </w:rPr>
        <w:t xml:space="preserve">, et débouchera sur les lignes d’orientations conceptuelles, </w:t>
      </w:r>
      <w:r w:rsidRPr="009A7013">
        <w:rPr>
          <w:rFonts w:eastAsia="Times New Roman" w:cstheme="minorHAnsi"/>
        </w:rPr>
        <w:t>b</w:t>
      </w:r>
      <w:r w:rsidR="00074A90" w:rsidRPr="009A7013">
        <w:rPr>
          <w:rFonts w:eastAsia="Times New Roman" w:cstheme="minorHAnsi"/>
        </w:rPr>
        <w:t xml:space="preserve">) une phase de conception d’une durée d’un mois, relative de la mise en place du système de SOVI, </w:t>
      </w:r>
      <w:r w:rsidRPr="009A7013">
        <w:rPr>
          <w:rFonts w:eastAsia="Times New Roman" w:cstheme="minorHAnsi"/>
        </w:rPr>
        <w:t>c</w:t>
      </w:r>
      <w:r w:rsidR="00074A90" w:rsidRPr="009A7013">
        <w:rPr>
          <w:rFonts w:eastAsia="Times New Roman" w:cstheme="minorHAnsi"/>
        </w:rPr>
        <w:t xml:space="preserve">) une phase de suivi de développement d’une durée d’un mois, relative aux aspects de développement, à conduire conjointement avec un spécialiste développeur, pour la mise en place du système de SE. </w:t>
      </w:r>
    </w:p>
    <w:p w:rsidR="00074A90" w:rsidRDefault="00074A90" w:rsidP="000D1093">
      <w:pPr>
        <w:spacing w:after="0" w:line="240" w:lineRule="auto"/>
        <w:ind w:firstLine="720"/>
        <w:jc w:val="both"/>
        <w:rPr>
          <w:rFonts w:eastAsia="Times New Roman" w:cstheme="minorHAnsi"/>
        </w:rPr>
      </w:pPr>
      <w:r w:rsidRPr="009A7013">
        <w:rPr>
          <w:rFonts w:eastAsia="Times New Roman" w:cstheme="minorHAnsi"/>
        </w:rPr>
        <w:t xml:space="preserve">4.2 La mission s’effectuera dans les locaux du Bureau </w:t>
      </w:r>
      <w:r w:rsidR="009A7013" w:rsidRPr="009A7013">
        <w:rPr>
          <w:rFonts w:eastAsia="Times New Roman" w:cstheme="minorHAnsi"/>
        </w:rPr>
        <w:t xml:space="preserve">de l’UCMIT/MSPP </w:t>
      </w:r>
      <w:r w:rsidRPr="009A7013">
        <w:rPr>
          <w:rFonts w:eastAsia="Times New Roman" w:cstheme="minorHAnsi"/>
          <w:i/>
        </w:rPr>
        <w:t>(</w:t>
      </w:r>
      <w:r w:rsidR="009A7013" w:rsidRPr="009A7013">
        <w:rPr>
          <w:rFonts w:cstheme="minorHAnsi"/>
          <w:bCs/>
          <w:i/>
        </w:rPr>
        <w:t xml:space="preserve"># 2, Rue </w:t>
      </w:r>
      <w:proofErr w:type="spellStart"/>
      <w:r w:rsidR="009A7013" w:rsidRPr="009A7013">
        <w:rPr>
          <w:rFonts w:cstheme="minorHAnsi"/>
          <w:bCs/>
          <w:i/>
        </w:rPr>
        <w:t>Boisrond</w:t>
      </w:r>
      <w:proofErr w:type="spellEnd"/>
      <w:r w:rsidR="009A7013" w:rsidRPr="009A7013">
        <w:rPr>
          <w:rFonts w:cstheme="minorHAnsi"/>
          <w:bCs/>
          <w:i/>
        </w:rPr>
        <w:t xml:space="preserve"> Canal, Puits Blain 24, Pétion-ville</w:t>
      </w:r>
      <w:r w:rsidRPr="009A7013">
        <w:rPr>
          <w:rFonts w:eastAsia="Times New Roman" w:cstheme="minorHAnsi"/>
        </w:rPr>
        <w:t>).</w:t>
      </w:r>
      <w:r w:rsidR="009A7013" w:rsidRPr="009A7013">
        <w:rPr>
          <w:rFonts w:eastAsia="Times New Roman" w:cstheme="minorHAnsi"/>
        </w:rPr>
        <w:t xml:space="preserve"> </w:t>
      </w:r>
      <w:r w:rsidRPr="009A7013">
        <w:rPr>
          <w:rFonts w:eastAsia="Times New Roman" w:cstheme="minorHAnsi"/>
        </w:rPr>
        <w:t xml:space="preserve">Elle sera conduite de façon participative avec les différentes parties prenantes de </w:t>
      </w:r>
      <w:r w:rsidR="009A7013" w:rsidRPr="009A7013">
        <w:rPr>
          <w:rFonts w:eastAsia="Times New Roman" w:cstheme="minorHAnsi"/>
        </w:rPr>
        <w:t>l’UCMIT</w:t>
      </w:r>
      <w:r w:rsidRPr="009A7013">
        <w:rPr>
          <w:rFonts w:eastAsia="Times New Roman" w:cstheme="minorHAnsi"/>
        </w:rPr>
        <w:t xml:space="preserve"> (</w:t>
      </w:r>
      <w:r w:rsidR="009A7013" w:rsidRPr="009A7013">
        <w:rPr>
          <w:rFonts w:eastAsia="Times New Roman" w:cstheme="minorHAnsi"/>
        </w:rPr>
        <w:t>Direction Exécutive</w:t>
      </w:r>
      <w:r w:rsidRPr="009A7013">
        <w:rPr>
          <w:rFonts w:eastAsia="Times New Roman" w:cstheme="minorHAnsi"/>
        </w:rPr>
        <w:t xml:space="preserve">, </w:t>
      </w:r>
      <w:r w:rsidR="009A7013" w:rsidRPr="009A7013">
        <w:rPr>
          <w:rFonts w:eastAsia="Times New Roman" w:cstheme="minorHAnsi"/>
        </w:rPr>
        <w:t>les Coordinations Techniques</w:t>
      </w:r>
      <w:r w:rsidRPr="009A7013">
        <w:rPr>
          <w:rFonts w:eastAsia="Times New Roman" w:cstheme="minorHAnsi"/>
        </w:rPr>
        <w:t>,</w:t>
      </w:r>
      <w:r w:rsidR="009A7013" w:rsidRPr="009A7013">
        <w:rPr>
          <w:rFonts w:eastAsia="Times New Roman" w:cstheme="minorHAnsi"/>
        </w:rPr>
        <w:t xml:space="preserve"> le les services et les Directions Départementales</w:t>
      </w:r>
      <w:r w:rsidRPr="009A7013">
        <w:rPr>
          <w:rFonts w:eastAsia="Times New Roman" w:cstheme="minorHAnsi"/>
        </w:rPr>
        <w:t xml:space="preserve">, </w:t>
      </w:r>
      <w:proofErr w:type="spellStart"/>
      <w:r w:rsidRPr="009A7013">
        <w:rPr>
          <w:rFonts w:eastAsia="Times New Roman" w:cstheme="minorHAnsi"/>
        </w:rPr>
        <w:t>etc</w:t>
      </w:r>
      <w:proofErr w:type="spellEnd"/>
      <w:r w:rsidRPr="009A7013">
        <w:rPr>
          <w:rFonts w:eastAsia="Times New Roman" w:cstheme="minorHAnsi"/>
        </w:rPr>
        <w:t>) pour conduire le diagnostic et analyser la problématique de gestion de projets de suivi des taches et d’appréciation de la performance. Un groupe de travail sera constitué pour piloter et soutenir le travail de consultant en plus des divers ateliers à organiser en présence des acteurs. Le consultant travai</w:t>
      </w:r>
      <w:r w:rsidR="009A7013" w:rsidRPr="009A7013">
        <w:rPr>
          <w:rFonts w:eastAsia="Times New Roman" w:cstheme="minorHAnsi"/>
        </w:rPr>
        <w:t>llera sous la responsabilité du Directeur Exécutif de l’UCMIT/MSPP</w:t>
      </w:r>
      <w:r w:rsidRPr="009A7013">
        <w:rPr>
          <w:rFonts w:eastAsia="Times New Roman" w:cstheme="minorHAnsi"/>
        </w:rPr>
        <w:t xml:space="preserve"> et sur le plan technique en étroite collaboration avec </w:t>
      </w:r>
      <w:r w:rsidR="009A7013" w:rsidRPr="009A7013">
        <w:rPr>
          <w:rFonts w:eastAsia="Times New Roman" w:cstheme="minorHAnsi"/>
        </w:rPr>
        <w:t>les coordonnateurs techniques des programmes</w:t>
      </w:r>
      <w:r w:rsidR="00A11E14">
        <w:rPr>
          <w:rFonts w:eastAsia="Times New Roman" w:cstheme="minorHAnsi"/>
        </w:rPr>
        <w:t xml:space="preserve">. </w:t>
      </w:r>
      <w:r w:rsidRPr="009A7013">
        <w:rPr>
          <w:rFonts w:eastAsia="Times New Roman" w:cstheme="minorHAnsi"/>
        </w:rPr>
        <w:t>A rappeler qu’un groupe de travail (</w:t>
      </w:r>
      <w:proofErr w:type="spellStart"/>
      <w:r w:rsidRPr="009A7013">
        <w:rPr>
          <w:rFonts w:eastAsia="Times New Roman" w:cstheme="minorHAnsi"/>
        </w:rPr>
        <w:t>Task</w:t>
      </w:r>
      <w:proofErr w:type="spellEnd"/>
      <w:r w:rsidRPr="009A7013">
        <w:rPr>
          <w:rFonts w:eastAsia="Times New Roman" w:cstheme="minorHAnsi"/>
        </w:rPr>
        <w:t xml:space="preserve"> Force) sera constitué pour soutenir et piloter le travail du consultant.</w:t>
      </w:r>
    </w:p>
    <w:p w:rsidR="000D1093" w:rsidRPr="009A7013" w:rsidRDefault="000D1093" w:rsidP="000D1093">
      <w:pPr>
        <w:spacing w:after="0" w:line="240" w:lineRule="auto"/>
        <w:ind w:firstLine="720"/>
        <w:jc w:val="both"/>
        <w:rPr>
          <w:rFonts w:eastAsia="Times New Roman" w:cstheme="minorHAnsi"/>
        </w:rPr>
      </w:pPr>
    </w:p>
    <w:p w:rsidR="009A7013" w:rsidRPr="009A7013" w:rsidRDefault="009A7013" w:rsidP="000D1093">
      <w:pPr>
        <w:spacing w:after="0" w:line="240" w:lineRule="auto"/>
        <w:ind w:firstLine="720"/>
        <w:jc w:val="both"/>
        <w:rPr>
          <w:rFonts w:eastAsia="Times New Roman" w:cstheme="minorHAnsi"/>
        </w:rPr>
      </w:pPr>
    </w:p>
    <w:p w:rsidR="009A7013" w:rsidRPr="000D1093" w:rsidRDefault="00074A90" w:rsidP="000D1093">
      <w:pPr>
        <w:pStyle w:val="ListParagraph"/>
        <w:numPr>
          <w:ilvl w:val="0"/>
          <w:numId w:val="7"/>
        </w:numPr>
        <w:spacing w:after="0" w:line="240" w:lineRule="auto"/>
        <w:jc w:val="both"/>
        <w:rPr>
          <w:rFonts w:eastAsia="Times New Roman" w:cstheme="minorHAnsi"/>
          <w:b/>
          <w:u w:val="single"/>
        </w:rPr>
      </w:pPr>
      <w:r w:rsidRPr="009A7013">
        <w:rPr>
          <w:rFonts w:eastAsia="Times New Roman" w:cstheme="minorHAnsi"/>
          <w:b/>
          <w:u w:val="single"/>
        </w:rPr>
        <w:t>Livrables attendus</w:t>
      </w:r>
      <w:r w:rsidRPr="009A7013">
        <w:rPr>
          <w:rFonts w:eastAsia="Times New Roman" w:cstheme="minorHAnsi"/>
        </w:rPr>
        <w:t xml:space="preserve"> </w:t>
      </w:r>
    </w:p>
    <w:p w:rsidR="000D1093" w:rsidRPr="009A7013" w:rsidRDefault="000D1093" w:rsidP="000D1093">
      <w:pPr>
        <w:pStyle w:val="ListParagraph"/>
        <w:spacing w:after="0" w:line="240" w:lineRule="auto"/>
        <w:jc w:val="both"/>
        <w:rPr>
          <w:rFonts w:eastAsia="Times New Roman" w:cstheme="minorHAnsi"/>
          <w:b/>
          <w:u w:val="single"/>
        </w:rPr>
      </w:pPr>
    </w:p>
    <w:p w:rsidR="009A7013" w:rsidRPr="009A7013" w:rsidRDefault="00074A90" w:rsidP="000D1093">
      <w:pPr>
        <w:spacing w:after="0" w:line="240" w:lineRule="auto"/>
        <w:jc w:val="both"/>
        <w:rPr>
          <w:rFonts w:eastAsia="Times New Roman" w:cstheme="minorHAnsi"/>
        </w:rPr>
      </w:pPr>
      <w:r w:rsidRPr="009A7013">
        <w:rPr>
          <w:rFonts w:eastAsia="Times New Roman" w:cstheme="minorHAnsi"/>
        </w:rPr>
        <w:t>Les principaux produits livrables attendus de cette prestation sont :</w:t>
      </w:r>
    </w:p>
    <w:p w:rsidR="009A7013" w:rsidRPr="009A7013" w:rsidRDefault="00074A90" w:rsidP="000D1093">
      <w:pPr>
        <w:spacing w:after="0" w:line="240" w:lineRule="auto"/>
        <w:jc w:val="both"/>
        <w:rPr>
          <w:rFonts w:eastAsia="Times New Roman" w:cstheme="minorHAnsi"/>
        </w:rPr>
      </w:pPr>
      <w:r w:rsidRPr="009A7013">
        <w:rPr>
          <w:rFonts w:eastAsia="Times New Roman" w:cstheme="minorHAnsi"/>
        </w:rPr>
        <w:t>▪1</w:t>
      </w:r>
      <w:r w:rsidRPr="009A7013">
        <w:rPr>
          <w:rFonts w:eastAsia="Times New Roman" w:cstheme="minorHAnsi"/>
          <w:vertAlign w:val="superscript"/>
        </w:rPr>
        <w:t>ère</w:t>
      </w:r>
      <w:r w:rsidR="009A7013">
        <w:rPr>
          <w:rFonts w:eastAsia="Times New Roman" w:cstheme="minorHAnsi"/>
        </w:rPr>
        <w:t xml:space="preserve"> </w:t>
      </w:r>
      <w:r w:rsidRPr="009A7013">
        <w:rPr>
          <w:rFonts w:eastAsia="Times New Roman" w:cstheme="minorHAnsi"/>
        </w:rPr>
        <w:t>Phase: Rapport de l’analyse de l’existant et la formulation des principes conceptu</w:t>
      </w:r>
      <w:r w:rsidR="00306649">
        <w:rPr>
          <w:rFonts w:eastAsia="Times New Roman" w:cstheme="minorHAnsi"/>
        </w:rPr>
        <w:t xml:space="preserve">els pour la mise en place d’un Tableau de Bord </w:t>
      </w:r>
      <w:r w:rsidR="00F910B0">
        <w:rPr>
          <w:rFonts w:eastAsia="Times New Roman" w:cstheme="minorHAnsi"/>
        </w:rPr>
        <w:t>I</w:t>
      </w:r>
      <w:r w:rsidR="00306649">
        <w:rPr>
          <w:rFonts w:eastAsia="Times New Roman" w:cstheme="minorHAnsi"/>
        </w:rPr>
        <w:t>ntégré des trois programmes</w:t>
      </w:r>
      <w:r w:rsidRPr="009A7013">
        <w:rPr>
          <w:rFonts w:eastAsia="Times New Roman" w:cstheme="minorHAnsi"/>
        </w:rPr>
        <w:t xml:space="preserve"> </w:t>
      </w:r>
    </w:p>
    <w:p w:rsidR="009A7013" w:rsidRDefault="00074A90" w:rsidP="000D1093">
      <w:pPr>
        <w:spacing w:after="0" w:line="240" w:lineRule="auto"/>
        <w:jc w:val="both"/>
        <w:rPr>
          <w:rFonts w:eastAsia="Times New Roman" w:cstheme="minorHAnsi"/>
        </w:rPr>
      </w:pPr>
      <w:r w:rsidRPr="009A7013">
        <w:rPr>
          <w:rFonts w:eastAsia="Times New Roman" w:cstheme="minorHAnsi"/>
        </w:rPr>
        <w:t>▪2</w:t>
      </w:r>
      <w:r w:rsidRPr="009A7013">
        <w:rPr>
          <w:rFonts w:eastAsia="Times New Roman" w:cstheme="minorHAnsi"/>
          <w:vertAlign w:val="superscript"/>
        </w:rPr>
        <w:t>ème</w:t>
      </w:r>
      <w:r w:rsidR="009A7013">
        <w:rPr>
          <w:rFonts w:eastAsia="Times New Roman" w:cstheme="minorHAnsi"/>
        </w:rPr>
        <w:t xml:space="preserve"> </w:t>
      </w:r>
      <w:r w:rsidRPr="009A7013">
        <w:rPr>
          <w:rFonts w:eastAsia="Times New Roman" w:cstheme="minorHAnsi"/>
        </w:rPr>
        <w:t xml:space="preserve">Phase: Modélisation conceptuelle de l’application avec l’ensemble des supports utiles, </w:t>
      </w:r>
    </w:p>
    <w:p w:rsidR="00C37CFF" w:rsidRPr="009A7013" w:rsidRDefault="00074A90" w:rsidP="000D1093">
      <w:pPr>
        <w:spacing w:after="0" w:line="240" w:lineRule="auto"/>
        <w:jc w:val="both"/>
        <w:rPr>
          <w:rFonts w:eastAsia="Times New Roman" w:cstheme="minorHAnsi"/>
        </w:rPr>
      </w:pPr>
      <w:r w:rsidRPr="009A7013">
        <w:rPr>
          <w:rFonts w:eastAsia="Times New Roman" w:cstheme="minorHAnsi"/>
        </w:rPr>
        <w:t>▪3</w:t>
      </w:r>
      <w:r w:rsidRPr="009A7013">
        <w:rPr>
          <w:rFonts w:eastAsia="Times New Roman" w:cstheme="minorHAnsi"/>
          <w:vertAlign w:val="superscript"/>
        </w:rPr>
        <w:t>ème</w:t>
      </w:r>
      <w:r w:rsidRPr="009A7013">
        <w:rPr>
          <w:rFonts w:eastAsia="Times New Roman" w:cstheme="minorHAnsi"/>
        </w:rPr>
        <w:t xml:space="preserve">Phase: </w:t>
      </w:r>
      <w:r w:rsidR="00306649">
        <w:rPr>
          <w:rFonts w:eastAsia="Times New Roman" w:cstheme="minorHAnsi"/>
        </w:rPr>
        <w:t>D</w:t>
      </w:r>
      <w:r w:rsidRPr="009A7013">
        <w:rPr>
          <w:rFonts w:eastAsia="Times New Roman" w:cstheme="minorHAnsi"/>
        </w:rPr>
        <w:t xml:space="preserve">éveloppement </w:t>
      </w:r>
      <w:r w:rsidR="009A7013" w:rsidRPr="009A7013">
        <w:rPr>
          <w:rFonts w:eastAsia="Times New Roman" w:cstheme="minorHAnsi"/>
        </w:rPr>
        <w:t>de l’application.</w:t>
      </w:r>
    </w:p>
    <w:p w:rsidR="009A7013" w:rsidRPr="009A7013" w:rsidRDefault="009A7013" w:rsidP="000D1093">
      <w:pPr>
        <w:spacing w:after="0" w:line="240" w:lineRule="auto"/>
        <w:jc w:val="both"/>
        <w:rPr>
          <w:rFonts w:eastAsia="Times New Roman" w:cstheme="minorHAnsi"/>
        </w:rPr>
      </w:pPr>
    </w:p>
    <w:p w:rsidR="009A7013" w:rsidRDefault="009A7013" w:rsidP="000D1093">
      <w:pPr>
        <w:spacing w:after="0" w:line="240" w:lineRule="auto"/>
        <w:jc w:val="both"/>
        <w:rPr>
          <w:rFonts w:ascii="Arial" w:eastAsia="Times New Roman" w:hAnsi="Arial" w:cs="Arial"/>
        </w:rPr>
      </w:pPr>
    </w:p>
    <w:p w:rsidR="009A7013" w:rsidRPr="000D1093" w:rsidRDefault="009A7013" w:rsidP="000D1093">
      <w:pPr>
        <w:pStyle w:val="ListParagraph"/>
        <w:numPr>
          <w:ilvl w:val="0"/>
          <w:numId w:val="7"/>
        </w:numPr>
        <w:spacing w:after="120" w:line="240" w:lineRule="auto"/>
        <w:jc w:val="both"/>
        <w:rPr>
          <w:b/>
          <w:u w:val="single"/>
        </w:rPr>
      </w:pPr>
      <w:r w:rsidRPr="000D1093">
        <w:rPr>
          <w:b/>
          <w:u w:val="single"/>
        </w:rPr>
        <w:t xml:space="preserve">Processus de recrutement </w:t>
      </w:r>
    </w:p>
    <w:p w:rsidR="009A7013" w:rsidRDefault="009A7013" w:rsidP="000D1093">
      <w:pPr>
        <w:spacing w:after="120"/>
        <w:jc w:val="both"/>
      </w:pPr>
      <w:r w:rsidRPr="00A60ECB">
        <w:t xml:space="preserve">Le choix sera </w:t>
      </w:r>
      <w:r w:rsidR="00307EAC">
        <w:t>fait par un comité de 5 membres</w:t>
      </w:r>
      <w:r w:rsidRPr="00A60ECB">
        <w:t xml:space="preserve"> en respectant les critères én</w:t>
      </w:r>
      <w:r>
        <w:t>umérés dans le profil recherché selon la démarche qui suit.</w:t>
      </w:r>
    </w:p>
    <w:p w:rsidR="009A7013" w:rsidRPr="007D69D6" w:rsidRDefault="009A7013" w:rsidP="000D1093">
      <w:pPr>
        <w:spacing w:after="120"/>
        <w:jc w:val="both"/>
        <w:rPr>
          <w:rFonts w:eastAsia="Calibri"/>
        </w:rPr>
      </w:pPr>
      <w:r w:rsidRPr="007D69D6">
        <w:rPr>
          <w:rFonts w:eastAsia="Calibri"/>
        </w:rPr>
        <w:t xml:space="preserve">Une évaluation préliminaire des offres aura lieu avant qu’une </w:t>
      </w:r>
      <w:r w:rsidRPr="007D69D6">
        <w:t>comparaison</w:t>
      </w:r>
      <w:r w:rsidRPr="007D69D6">
        <w:rPr>
          <w:rFonts w:eastAsia="Calibri"/>
        </w:rPr>
        <w:t xml:space="preserve"> technique et financière ne soit considérée. Seules les proposition</w:t>
      </w:r>
      <w:r w:rsidR="00A11E14">
        <w:rPr>
          <w:rFonts w:eastAsia="Calibri"/>
        </w:rPr>
        <w:t>s techniques et financières des</w:t>
      </w:r>
      <w:r w:rsidRPr="007D69D6">
        <w:rPr>
          <w:rFonts w:eastAsia="Calibri"/>
        </w:rPr>
        <w:t xml:space="preserve"> professionnels, dont l’examen préliminaire satisfait aux exigences du dossier joint au tableau ci-dessous, seront considérées (méthode conforme/non conforme).</w:t>
      </w:r>
    </w:p>
    <w:p w:rsidR="009A7013" w:rsidRPr="00577334" w:rsidRDefault="009A7013" w:rsidP="000D1093">
      <w:pPr>
        <w:autoSpaceDE w:val="0"/>
        <w:autoSpaceDN w:val="0"/>
        <w:adjustRightInd w:val="0"/>
        <w:spacing w:after="120"/>
        <w:jc w:val="both"/>
        <w:rPr>
          <w:rFonts w:ascii="Calibri" w:eastAsia="Calibri" w:hAnsi="Calibri" w:cs="Cambria"/>
          <w:b/>
        </w:rPr>
      </w:pPr>
      <w:r w:rsidRPr="00577334">
        <w:rPr>
          <w:rFonts w:ascii="Calibri" w:eastAsia="Calibri" w:hAnsi="Calibri" w:cs="Cambria"/>
          <w:b/>
        </w:rPr>
        <w:t xml:space="preserve">Tableau d’évaluation primaire </w:t>
      </w:r>
    </w:p>
    <w:tbl>
      <w:tblPr>
        <w:tblW w:w="8655" w:type="dxa"/>
        <w:tblInd w:w="93" w:type="dxa"/>
        <w:tblLook w:val="04A0" w:firstRow="1" w:lastRow="0" w:firstColumn="1" w:lastColumn="0" w:noHBand="0" w:noVBand="1"/>
      </w:tblPr>
      <w:tblGrid>
        <w:gridCol w:w="504"/>
        <w:gridCol w:w="5137"/>
        <w:gridCol w:w="1220"/>
        <w:gridCol w:w="1794"/>
      </w:tblGrid>
      <w:tr w:rsidR="009A7013" w:rsidRPr="007D69D6" w:rsidTr="00204B34">
        <w:trPr>
          <w:trHeight w:val="420"/>
        </w:trPr>
        <w:tc>
          <w:tcPr>
            <w:tcW w:w="504" w:type="dxa"/>
            <w:tcBorders>
              <w:top w:val="nil"/>
              <w:left w:val="nil"/>
              <w:bottom w:val="nil"/>
              <w:right w:val="nil"/>
            </w:tcBorders>
            <w:shd w:val="clear" w:color="auto" w:fill="auto"/>
            <w:hideMark/>
          </w:tcPr>
          <w:p w:rsidR="009A7013" w:rsidRPr="007D69D6" w:rsidRDefault="009A7013" w:rsidP="000D1093">
            <w:pPr>
              <w:jc w:val="both"/>
              <w:rPr>
                <w:color w:val="000000"/>
              </w:rPr>
            </w:pPr>
          </w:p>
        </w:tc>
        <w:tc>
          <w:tcPr>
            <w:tcW w:w="5137" w:type="dxa"/>
            <w:tcBorders>
              <w:top w:val="nil"/>
              <w:left w:val="nil"/>
              <w:bottom w:val="nil"/>
              <w:right w:val="nil"/>
            </w:tcBorders>
            <w:shd w:val="clear" w:color="auto" w:fill="auto"/>
            <w:hideMark/>
          </w:tcPr>
          <w:p w:rsidR="009A7013" w:rsidRPr="007D69D6" w:rsidRDefault="009A7013" w:rsidP="000D1093">
            <w:pPr>
              <w:jc w:val="both"/>
              <w:rPr>
                <w:color w:val="000000"/>
              </w:rPr>
            </w:pPr>
          </w:p>
        </w:tc>
        <w:tc>
          <w:tcPr>
            <w:tcW w:w="301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A7013" w:rsidRPr="007D69D6" w:rsidRDefault="00307EAC" w:rsidP="000D1093">
            <w:pPr>
              <w:jc w:val="both"/>
              <w:rPr>
                <w:b/>
                <w:color w:val="000000"/>
              </w:rPr>
            </w:pPr>
            <w:r>
              <w:rPr>
                <w:b/>
                <w:color w:val="000000"/>
              </w:rPr>
              <w:t xml:space="preserve">       </w:t>
            </w:r>
            <w:r w:rsidR="009A7013" w:rsidRPr="007D69D6">
              <w:rPr>
                <w:b/>
                <w:color w:val="000000"/>
              </w:rPr>
              <w:t>Méthode d’évaluation</w:t>
            </w:r>
          </w:p>
        </w:tc>
      </w:tr>
      <w:tr w:rsidR="009A7013" w:rsidRPr="007D69D6" w:rsidTr="00204B34">
        <w:trPr>
          <w:trHeight w:val="300"/>
        </w:trPr>
        <w:tc>
          <w:tcPr>
            <w:tcW w:w="504" w:type="dxa"/>
            <w:tcBorders>
              <w:top w:val="single" w:sz="8" w:space="0" w:color="auto"/>
              <w:left w:val="single" w:sz="8" w:space="0" w:color="auto"/>
              <w:bottom w:val="single" w:sz="8" w:space="0" w:color="auto"/>
              <w:right w:val="single" w:sz="4" w:space="0" w:color="auto"/>
            </w:tcBorders>
            <w:shd w:val="clear" w:color="auto" w:fill="auto"/>
            <w:hideMark/>
          </w:tcPr>
          <w:p w:rsidR="009A7013" w:rsidRPr="007D69D6" w:rsidRDefault="009A7013" w:rsidP="000D1093">
            <w:pPr>
              <w:jc w:val="both"/>
              <w:rPr>
                <w:b/>
                <w:color w:val="000000"/>
              </w:rPr>
            </w:pPr>
            <w:r w:rsidRPr="007D69D6">
              <w:rPr>
                <w:b/>
                <w:color w:val="000000"/>
              </w:rPr>
              <w:t>No</w:t>
            </w:r>
          </w:p>
        </w:tc>
        <w:tc>
          <w:tcPr>
            <w:tcW w:w="5137" w:type="dxa"/>
            <w:tcBorders>
              <w:top w:val="single" w:sz="8" w:space="0" w:color="auto"/>
              <w:left w:val="nil"/>
              <w:bottom w:val="single" w:sz="8" w:space="0" w:color="auto"/>
              <w:right w:val="single" w:sz="4" w:space="0" w:color="auto"/>
            </w:tcBorders>
            <w:shd w:val="clear" w:color="auto" w:fill="auto"/>
            <w:hideMark/>
          </w:tcPr>
          <w:p w:rsidR="009A7013" w:rsidRPr="007D69D6" w:rsidRDefault="009A7013" w:rsidP="000D1093">
            <w:pPr>
              <w:jc w:val="both"/>
              <w:rPr>
                <w:b/>
                <w:color w:val="000000"/>
              </w:rPr>
            </w:pPr>
            <w:r w:rsidRPr="007D69D6">
              <w:rPr>
                <w:b/>
                <w:color w:val="000000"/>
              </w:rPr>
              <w:t xml:space="preserve">Critères préliminaires </w:t>
            </w:r>
          </w:p>
        </w:tc>
        <w:tc>
          <w:tcPr>
            <w:tcW w:w="1220" w:type="dxa"/>
            <w:tcBorders>
              <w:top w:val="nil"/>
              <w:left w:val="nil"/>
              <w:bottom w:val="single" w:sz="8" w:space="0" w:color="auto"/>
              <w:right w:val="single" w:sz="4" w:space="0" w:color="auto"/>
            </w:tcBorders>
            <w:shd w:val="clear" w:color="auto" w:fill="auto"/>
            <w:hideMark/>
          </w:tcPr>
          <w:p w:rsidR="009A7013" w:rsidRPr="007D69D6" w:rsidRDefault="009A7013" w:rsidP="000D1093">
            <w:pPr>
              <w:jc w:val="both"/>
              <w:rPr>
                <w:b/>
                <w:color w:val="000000"/>
              </w:rPr>
            </w:pPr>
            <w:r w:rsidRPr="007D69D6">
              <w:rPr>
                <w:b/>
                <w:color w:val="000000"/>
              </w:rPr>
              <w:t xml:space="preserve">Conforme </w:t>
            </w:r>
          </w:p>
        </w:tc>
        <w:tc>
          <w:tcPr>
            <w:tcW w:w="1794" w:type="dxa"/>
            <w:tcBorders>
              <w:top w:val="nil"/>
              <w:left w:val="nil"/>
              <w:bottom w:val="single" w:sz="8" w:space="0" w:color="auto"/>
              <w:right w:val="single" w:sz="8" w:space="0" w:color="auto"/>
            </w:tcBorders>
            <w:shd w:val="clear" w:color="auto" w:fill="auto"/>
            <w:hideMark/>
          </w:tcPr>
          <w:p w:rsidR="009A7013" w:rsidRPr="007D69D6" w:rsidRDefault="009A7013" w:rsidP="000D1093">
            <w:pPr>
              <w:jc w:val="both"/>
              <w:rPr>
                <w:b/>
                <w:color w:val="000000"/>
              </w:rPr>
            </w:pPr>
            <w:r w:rsidRPr="007D69D6">
              <w:rPr>
                <w:b/>
                <w:color w:val="000000"/>
              </w:rPr>
              <w:t>Non Conforme</w:t>
            </w:r>
          </w:p>
        </w:tc>
      </w:tr>
      <w:tr w:rsidR="009A7013" w:rsidRPr="007D69D6" w:rsidTr="00204B34">
        <w:trPr>
          <w:trHeight w:val="945"/>
        </w:trPr>
        <w:tc>
          <w:tcPr>
            <w:tcW w:w="504" w:type="dxa"/>
            <w:tcBorders>
              <w:top w:val="nil"/>
              <w:left w:val="single" w:sz="8" w:space="0" w:color="auto"/>
              <w:bottom w:val="single" w:sz="4"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1</w:t>
            </w:r>
          </w:p>
        </w:tc>
        <w:tc>
          <w:tcPr>
            <w:tcW w:w="5137" w:type="dxa"/>
            <w:tcBorders>
              <w:top w:val="nil"/>
              <w:left w:val="nil"/>
              <w:bottom w:val="single" w:sz="4"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Lettre d'intention du professionnel spécifiant le domaine d'expertise et la compréhension du mandat</w:t>
            </w:r>
          </w:p>
        </w:tc>
        <w:tc>
          <w:tcPr>
            <w:tcW w:w="1220" w:type="dxa"/>
            <w:tcBorders>
              <w:top w:val="nil"/>
              <w:left w:val="nil"/>
              <w:bottom w:val="single" w:sz="4"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 </w:t>
            </w:r>
          </w:p>
        </w:tc>
        <w:tc>
          <w:tcPr>
            <w:tcW w:w="1794" w:type="dxa"/>
            <w:tcBorders>
              <w:top w:val="nil"/>
              <w:left w:val="nil"/>
              <w:bottom w:val="single" w:sz="4" w:space="0" w:color="auto"/>
              <w:right w:val="single" w:sz="8" w:space="0" w:color="auto"/>
            </w:tcBorders>
            <w:shd w:val="clear" w:color="auto" w:fill="auto"/>
            <w:hideMark/>
          </w:tcPr>
          <w:p w:rsidR="009A7013" w:rsidRPr="007D69D6" w:rsidRDefault="009A7013" w:rsidP="000D1093">
            <w:pPr>
              <w:jc w:val="both"/>
              <w:rPr>
                <w:color w:val="000000"/>
              </w:rPr>
            </w:pPr>
            <w:r w:rsidRPr="007D69D6">
              <w:rPr>
                <w:color w:val="000000"/>
              </w:rPr>
              <w:t> </w:t>
            </w:r>
          </w:p>
        </w:tc>
      </w:tr>
      <w:tr w:rsidR="009A7013" w:rsidRPr="007D69D6" w:rsidTr="00204B34">
        <w:trPr>
          <w:trHeight w:val="330"/>
        </w:trPr>
        <w:tc>
          <w:tcPr>
            <w:tcW w:w="504" w:type="dxa"/>
            <w:tcBorders>
              <w:top w:val="nil"/>
              <w:left w:val="single" w:sz="8" w:space="0" w:color="auto"/>
              <w:bottom w:val="single" w:sz="4"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2</w:t>
            </w:r>
          </w:p>
        </w:tc>
        <w:tc>
          <w:tcPr>
            <w:tcW w:w="5137" w:type="dxa"/>
            <w:tcBorders>
              <w:top w:val="nil"/>
              <w:left w:val="nil"/>
              <w:bottom w:val="single" w:sz="4"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 xml:space="preserve">CV  du professionnel consultant et copies de diplômes et de certificats </w:t>
            </w:r>
          </w:p>
        </w:tc>
        <w:tc>
          <w:tcPr>
            <w:tcW w:w="1220" w:type="dxa"/>
            <w:tcBorders>
              <w:top w:val="nil"/>
              <w:left w:val="nil"/>
              <w:bottom w:val="single" w:sz="4"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 </w:t>
            </w:r>
          </w:p>
        </w:tc>
        <w:tc>
          <w:tcPr>
            <w:tcW w:w="1794" w:type="dxa"/>
            <w:tcBorders>
              <w:top w:val="nil"/>
              <w:left w:val="nil"/>
              <w:bottom w:val="single" w:sz="4" w:space="0" w:color="auto"/>
              <w:right w:val="single" w:sz="8" w:space="0" w:color="auto"/>
            </w:tcBorders>
            <w:shd w:val="clear" w:color="auto" w:fill="auto"/>
            <w:hideMark/>
          </w:tcPr>
          <w:p w:rsidR="009A7013" w:rsidRPr="007D69D6" w:rsidRDefault="009A7013" w:rsidP="000D1093">
            <w:pPr>
              <w:jc w:val="both"/>
              <w:rPr>
                <w:color w:val="000000"/>
              </w:rPr>
            </w:pPr>
            <w:r w:rsidRPr="007D69D6">
              <w:rPr>
                <w:color w:val="000000"/>
              </w:rPr>
              <w:t> </w:t>
            </w:r>
          </w:p>
        </w:tc>
      </w:tr>
      <w:tr w:rsidR="009A7013" w:rsidRPr="007D69D6" w:rsidTr="00204B34">
        <w:trPr>
          <w:trHeight w:val="315"/>
        </w:trPr>
        <w:tc>
          <w:tcPr>
            <w:tcW w:w="504" w:type="dxa"/>
            <w:tcBorders>
              <w:top w:val="nil"/>
              <w:left w:val="single" w:sz="8" w:space="0" w:color="auto"/>
              <w:bottom w:val="single" w:sz="4"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3</w:t>
            </w:r>
          </w:p>
        </w:tc>
        <w:tc>
          <w:tcPr>
            <w:tcW w:w="5137" w:type="dxa"/>
            <w:tcBorders>
              <w:top w:val="nil"/>
              <w:left w:val="nil"/>
              <w:bottom w:val="single" w:sz="4"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 xml:space="preserve">Proposition technique </w:t>
            </w:r>
          </w:p>
        </w:tc>
        <w:tc>
          <w:tcPr>
            <w:tcW w:w="1220" w:type="dxa"/>
            <w:tcBorders>
              <w:top w:val="nil"/>
              <w:left w:val="nil"/>
              <w:bottom w:val="single" w:sz="4"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 </w:t>
            </w:r>
          </w:p>
        </w:tc>
        <w:tc>
          <w:tcPr>
            <w:tcW w:w="1794" w:type="dxa"/>
            <w:tcBorders>
              <w:top w:val="nil"/>
              <w:left w:val="nil"/>
              <w:bottom w:val="single" w:sz="4" w:space="0" w:color="auto"/>
              <w:right w:val="single" w:sz="8" w:space="0" w:color="auto"/>
            </w:tcBorders>
            <w:shd w:val="clear" w:color="auto" w:fill="auto"/>
            <w:hideMark/>
          </w:tcPr>
          <w:p w:rsidR="009A7013" w:rsidRPr="007D69D6" w:rsidRDefault="009A7013" w:rsidP="000D1093">
            <w:pPr>
              <w:jc w:val="both"/>
              <w:rPr>
                <w:color w:val="000000"/>
              </w:rPr>
            </w:pPr>
            <w:r w:rsidRPr="007D69D6">
              <w:rPr>
                <w:color w:val="000000"/>
              </w:rPr>
              <w:t> </w:t>
            </w:r>
          </w:p>
        </w:tc>
      </w:tr>
      <w:tr w:rsidR="009A7013" w:rsidRPr="007D69D6" w:rsidTr="00204B34">
        <w:trPr>
          <w:trHeight w:val="330"/>
        </w:trPr>
        <w:tc>
          <w:tcPr>
            <w:tcW w:w="504" w:type="dxa"/>
            <w:tcBorders>
              <w:top w:val="nil"/>
              <w:left w:val="single" w:sz="8" w:space="0" w:color="auto"/>
              <w:bottom w:val="single" w:sz="8"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4</w:t>
            </w:r>
          </w:p>
        </w:tc>
        <w:tc>
          <w:tcPr>
            <w:tcW w:w="5137" w:type="dxa"/>
            <w:tcBorders>
              <w:top w:val="nil"/>
              <w:left w:val="nil"/>
              <w:bottom w:val="single" w:sz="8"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Proposition financière</w:t>
            </w:r>
          </w:p>
        </w:tc>
        <w:tc>
          <w:tcPr>
            <w:tcW w:w="1220" w:type="dxa"/>
            <w:tcBorders>
              <w:top w:val="nil"/>
              <w:left w:val="nil"/>
              <w:bottom w:val="single" w:sz="8" w:space="0" w:color="auto"/>
              <w:right w:val="single" w:sz="4" w:space="0" w:color="auto"/>
            </w:tcBorders>
            <w:shd w:val="clear" w:color="auto" w:fill="auto"/>
            <w:hideMark/>
          </w:tcPr>
          <w:p w:rsidR="009A7013" w:rsidRPr="007D69D6" w:rsidRDefault="009A7013" w:rsidP="000D1093">
            <w:pPr>
              <w:jc w:val="both"/>
              <w:rPr>
                <w:color w:val="000000"/>
              </w:rPr>
            </w:pPr>
            <w:r w:rsidRPr="007D69D6">
              <w:rPr>
                <w:color w:val="000000"/>
              </w:rPr>
              <w:t> </w:t>
            </w:r>
          </w:p>
        </w:tc>
        <w:tc>
          <w:tcPr>
            <w:tcW w:w="1794" w:type="dxa"/>
            <w:tcBorders>
              <w:top w:val="nil"/>
              <w:left w:val="nil"/>
              <w:bottom w:val="single" w:sz="8" w:space="0" w:color="auto"/>
              <w:right w:val="single" w:sz="8" w:space="0" w:color="auto"/>
            </w:tcBorders>
            <w:shd w:val="clear" w:color="auto" w:fill="auto"/>
            <w:hideMark/>
          </w:tcPr>
          <w:p w:rsidR="009A7013" w:rsidRPr="007D69D6" w:rsidRDefault="009A7013" w:rsidP="000D1093">
            <w:pPr>
              <w:jc w:val="both"/>
              <w:rPr>
                <w:color w:val="000000"/>
              </w:rPr>
            </w:pPr>
            <w:r w:rsidRPr="007D69D6">
              <w:rPr>
                <w:color w:val="000000"/>
              </w:rPr>
              <w:t> </w:t>
            </w:r>
          </w:p>
        </w:tc>
      </w:tr>
      <w:tr w:rsidR="009A7013" w:rsidRPr="007D69D6" w:rsidTr="00204B34">
        <w:trPr>
          <w:trHeight w:val="330"/>
        </w:trPr>
        <w:tc>
          <w:tcPr>
            <w:tcW w:w="5641" w:type="dxa"/>
            <w:gridSpan w:val="2"/>
            <w:tcBorders>
              <w:top w:val="single" w:sz="8" w:space="0" w:color="auto"/>
              <w:left w:val="single" w:sz="8" w:space="0" w:color="auto"/>
              <w:bottom w:val="single" w:sz="8" w:space="0" w:color="auto"/>
              <w:right w:val="single" w:sz="8" w:space="0" w:color="auto"/>
            </w:tcBorders>
            <w:shd w:val="clear" w:color="auto" w:fill="auto"/>
            <w:hideMark/>
          </w:tcPr>
          <w:p w:rsidR="009A7013" w:rsidRPr="007D69D6" w:rsidRDefault="009A7013" w:rsidP="000D1093">
            <w:pPr>
              <w:jc w:val="both"/>
              <w:rPr>
                <w:color w:val="000000"/>
              </w:rPr>
            </w:pPr>
            <w:r w:rsidRPr="007D69D6">
              <w:rPr>
                <w:color w:val="000000"/>
              </w:rPr>
              <w:t>Observation globale</w:t>
            </w:r>
          </w:p>
        </w:tc>
        <w:tc>
          <w:tcPr>
            <w:tcW w:w="3014" w:type="dxa"/>
            <w:gridSpan w:val="2"/>
            <w:tcBorders>
              <w:top w:val="single" w:sz="8" w:space="0" w:color="auto"/>
              <w:left w:val="nil"/>
              <w:bottom w:val="single" w:sz="8" w:space="0" w:color="auto"/>
              <w:right w:val="single" w:sz="8" w:space="0" w:color="auto"/>
            </w:tcBorders>
            <w:shd w:val="clear" w:color="auto" w:fill="auto"/>
            <w:hideMark/>
          </w:tcPr>
          <w:p w:rsidR="009A7013" w:rsidRPr="007D69D6" w:rsidRDefault="009A7013" w:rsidP="000D1093">
            <w:pPr>
              <w:jc w:val="both"/>
              <w:rPr>
                <w:color w:val="000000"/>
              </w:rPr>
            </w:pPr>
            <w:r w:rsidRPr="007D69D6">
              <w:rPr>
                <w:color w:val="000000"/>
              </w:rPr>
              <w:t> </w:t>
            </w:r>
          </w:p>
        </w:tc>
      </w:tr>
    </w:tbl>
    <w:p w:rsidR="009A7013" w:rsidRPr="007D69D6" w:rsidRDefault="009A7013" w:rsidP="000D1093">
      <w:pPr>
        <w:spacing w:after="120"/>
        <w:jc w:val="both"/>
      </w:pPr>
      <w:r w:rsidRPr="007D69D6">
        <w:t>L’ensemble des offres technique et financière d’un consultant éligible sera évalué selon la formule suivante :</w:t>
      </w:r>
    </w:p>
    <w:p w:rsidR="009A7013" w:rsidRPr="007D69D6" w:rsidRDefault="009A7013" w:rsidP="000D1093">
      <w:pPr>
        <w:spacing w:after="120"/>
        <w:jc w:val="both"/>
        <w:rPr>
          <w:u w:val="single"/>
        </w:rPr>
      </w:pPr>
      <w:r w:rsidRPr="007D69D6">
        <w:t>Note O</w:t>
      </w:r>
      <w:r w:rsidRPr="007D69D6">
        <w:rPr>
          <w:i/>
        </w:rPr>
        <w:t>T</w:t>
      </w:r>
      <w:r w:rsidRPr="007D69D6">
        <w:t xml:space="preserve"> (sur 70 pts)   + [OF moins dispendieuse /</w:t>
      </w:r>
      <w:r w:rsidRPr="007D69D6">
        <w:rPr>
          <w:i/>
        </w:rPr>
        <w:t xml:space="preserve"> OF</w:t>
      </w:r>
      <w:r w:rsidRPr="007D69D6">
        <w:t xml:space="preserve"> de la firme à évaluer] x 30 points    =  Note Totale (sur 100 points)</w:t>
      </w:r>
      <w:r w:rsidRPr="007D69D6">
        <w:tab/>
      </w:r>
    </w:p>
    <w:p w:rsidR="009A7013" w:rsidRPr="007D69D6" w:rsidRDefault="009A7013" w:rsidP="000D1093">
      <w:pPr>
        <w:spacing w:after="120"/>
        <w:jc w:val="both"/>
      </w:pPr>
      <w:r w:rsidRPr="007D69D6">
        <w:rPr>
          <w:i/>
        </w:rPr>
        <w:t>(OT : Offre Technique  –  OF : Offre Financière)</w:t>
      </w:r>
    </w:p>
    <w:p w:rsidR="009A7013" w:rsidRPr="007D69D6" w:rsidRDefault="009A7013" w:rsidP="000D1093">
      <w:pPr>
        <w:spacing w:after="120"/>
        <w:jc w:val="both"/>
      </w:pPr>
      <w:r w:rsidRPr="007D69D6">
        <w:t>La firme ayant présenté la proposition financière la moins dispendieuse aura ainsi la note maximale de 30 points, le rapport initial étant égal à 1.</w:t>
      </w:r>
    </w:p>
    <w:p w:rsidR="009A7013" w:rsidRPr="007D69D6" w:rsidRDefault="009A7013" w:rsidP="000D1093">
      <w:pPr>
        <w:autoSpaceDE w:val="0"/>
        <w:autoSpaceDN w:val="0"/>
        <w:adjustRightInd w:val="0"/>
        <w:spacing w:after="120"/>
        <w:jc w:val="both"/>
        <w:rPr>
          <w:rFonts w:eastAsia="Calibri"/>
        </w:rPr>
      </w:pPr>
      <w:r w:rsidRPr="007D69D6">
        <w:rPr>
          <w:rFonts w:eastAsia="Calibri"/>
        </w:rPr>
        <w:lastRenderedPageBreak/>
        <w:t>La composante financière d’une proposition ne sera évaluée que si la composante technique de cette même proposition atteint le nombre minimum de 40 points.</w:t>
      </w:r>
    </w:p>
    <w:p w:rsidR="009A7013" w:rsidRDefault="009A7013" w:rsidP="000D1093">
      <w:pPr>
        <w:autoSpaceDE w:val="0"/>
        <w:autoSpaceDN w:val="0"/>
        <w:adjustRightInd w:val="0"/>
        <w:spacing w:after="120"/>
        <w:jc w:val="both"/>
        <w:rPr>
          <w:rFonts w:eastAsia="Calibri"/>
        </w:rPr>
      </w:pPr>
      <w:r w:rsidRPr="007D69D6">
        <w:rPr>
          <w:rFonts w:eastAsia="Calibri"/>
        </w:rPr>
        <w:t xml:space="preserve">Le volet technique, qui a une valeur totale de 70 points, sera évalué à l'aide des critères suivants : </w:t>
      </w:r>
    </w:p>
    <w:p w:rsidR="00F54AA8" w:rsidRPr="007D69D6" w:rsidRDefault="00F54AA8" w:rsidP="000D1093">
      <w:pPr>
        <w:autoSpaceDE w:val="0"/>
        <w:autoSpaceDN w:val="0"/>
        <w:adjustRightInd w:val="0"/>
        <w:spacing w:after="120"/>
        <w:jc w:val="both"/>
        <w:rPr>
          <w:rFonts w:eastAsia="Calibri"/>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8148"/>
        <w:gridCol w:w="900"/>
      </w:tblGrid>
      <w:tr w:rsidR="009A7013" w:rsidRPr="007D69D6" w:rsidTr="00204B34">
        <w:trPr>
          <w:trHeight w:val="494"/>
        </w:trPr>
        <w:tc>
          <w:tcPr>
            <w:tcW w:w="8604" w:type="dxa"/>
            <w:gridSpan w:val="2"/>
          </w:tcPr>
          <w:p w:rsidR="009A7013" w:rsidRPr="000D1093" w:rsidRDefault="009A7013" w:rsidP="000D1093">
            <w:pPr>
              <w:pStyle w:val="BodyText2"/>
              <w:jc w:val="both"/>
              <w:rPr>
                <w:rFonts w:asciiTheme="minorHAnsi" w:hAnsiTheme="minorHAnsi" w:cstheme="minorHAnsi"/>
                <w:b/>
                <w:bCs/>
                <w:sz w:val="22"/>
                <w:szCs w:val="22"/>
              </w:rPr>
            </w:pPr>
            <w:r w:rsidRPr="000D1093">
              <w:rPr>
                <w:rFonts w:asciiTheme="minorHAnsi" w:hAnsiTheme="minorHAnsi" w:cstheme="minorHAnsi"/>
                <w:b/>
                <w:bCs/>
                <w:sz w:val="22"/>
                <w:szCs w:val="22"/>
              </w:rPr>
              <w:t>Critères</w:t>
            </w:r>
          </w:p>
        </w:tc>
        <w:tc>
          <w:tcPr>
            <w:tcW w:w="900" w:type="dxa"/>
          </w:tcPr>
          <w:p w:rsidR="009A7013" w:rsidRPr="000D1093" w:rsidRDefault="009A7013" w:rsidP="000D1093">
            <w:pPr>
              <w:pStyle w:val="BodyText2"/>
              <w:jc w:val="both"/>
              <w:rPr>
                <w:rFonts w:asciiTheme="minorHAnsi" w:hAnsiTheme="minorHAnsi" w:cstheme="minorHAnsi"/>
                <w:b/>
                <w:bCs/>
                <w:sz w:val="22"/>
                <w:szCs w:val="22"/>
              </w:rPr>
            </w:pPr>
            <w:r w:rsidRPr="000D1093">
              <w:rPr>
                <w:rFonts w:asciiTheme="minorHAnsi" w:hAnsiTheme="minorHAnsi" w:cstheme="minorHAnsi"/>
                <w:b/>
                <w:bCs/>
                <w:sz w:val="22"/>
                <w:szCs w:val="22"/>
              </w:rPr>
              <w:t>Points</w:t>
            </w:r>
          </w:p>
        </w:tc>
      </w:tr>
      <w:tr w:rsidR="009A7013" w:rsidRPr="007D69D6" w:rsidTr="00204B34">
        <w:trPr>
          <w:trHeight w:val="593"/>
        </w:trPr>
        <w:tc>
          <w:tcPr>
            <w:tcW w:w="456" w:type="dxa"/>
            <w:vAlign w:val="center"/>
          </w:tcPr>
          <w:p w:rsidR="009A7013" w:rsidRPr="000D1093" w:rsidRDefault="009A7013" w:rsidP="000D1093">
            <w:pPr>
              <w:pStyle w:val="BodyText2"/>
              <w:jc w:val="both"/>
              <w:rPr>
                <w:rFonts w:asciiTheme="minorHAnsi" w:hAnsiTheme="minorHAnsi" w:cstheme="minorHAnsi"/>
                <w:b/>
                <w:sz w:val="22"/>
                <w:szCs w:val="22"/>
              </w:rPr>
            </w:pPr>
            <w:r w:rsidRPr="000D1093">
              <w:rPr>
                <w:rFonts w:asciiTheme="minorHAnsi" w:hAnsiTheme="minorHAnsi" w:cstheme="minorHAnsi"/>
                <w:b/>
                <w:bCs/>
                <w:sz w:val="22"/>
                <w:szCs w:val="22"/>
              </w:rPr>
              <w:t>1</w:t>
            </w:r>
          </w:p>
        </w:tc>
        <w:tc>
          <w:tcPr>
            <w:tcW w:w="8148" w:type="dxa"/>
            <w:vAlign w:val="center"/>
          </w:tcPr>
          <w:p w:rsidR="009A7013" w:rsidRPr="000D1093" w:rsidRDefault="009A7013" w:rsidP="000D1093">
            <w:pPr>
              <w:pStyle w:val="NoSpacing"/>
              <w:rPr>
                <w:rFonts w:asciiTheme="minorHAnsi" w:hAnsiTheme="minorHAnsi" w:cstheme="minorHAnsi"/>
                <w:sz w:val="22"/>
                <w:szCs w:val="22"/>
              </w:rPr>
            </w:pPr>
            <w:r w:rsidRPr="000D1093">
              <w:rPr>
                <w:rFonts w:asciiTheme="minorHAnsi" w:hAnsiTheme="minorHAnsi" w:cstheme="minorHAnsi"/>
                <w:sz w:val="22"/>
                <w:szCs w:val="22"/>
              </w:rPr>
              <w:t xml:space="preserve">Expérience du professionnel consultant dans l’exécution de ce type de services ou d’autres apparentés  </w:t>
            </w:r>
          </w:p>
        </w:tc>
        <w:tc>
          <w:tcPr>
            <w:tcW w:w="900" w:type="dxa"/>
            <w:vAlign w:val="center"/>
          </w:tcPr>
          <w:p w:rsidR="009A7013" w:rsidRPr="000D1093" w:rsidRDefault="009A7013" w:rsidP="000D1093">
            <w:pPr>
              <w:pStyle w:val="NoSpacing"/>
              <w:rPr>
                <w:rFonts w:asciiTheme="minorHAnsi" w:hAnsiTheme="minorHAnsi" w:cstheme="minorHAnsi"/>
                <w:bCs/>
                <w:sz w:val="22"/>
                <w:szCs w:val="22"/>
              </w:rPr>
            </w:pPr>
            <w:r w:rsidRPr="000D1093">
              <w:rPr>
                <w:rFonts w:asciiTheme="minorHAnsi" w:hAnsiTheme="minorHAnsi" w:cstheme="minorHAnsi"/>
                <w:sz w:val="22"/>
                <w:szCs w:val="22"/>
              </w:rPr>
              <w:t>30</w:t>
            </w:r>
          </w:p>
        </w:tc>
      </w:tr>
      <w:tr w:rsidR="009A7013" w:rsidRPr="007D69D6" w:rsidTr="00204B34">
        <w:trPr>
          <w:trHeight w:val="733"/>
        </w:trPr>
        <w:tc>
          <w:tcPr>
            <w:tcW w:w="456" w:type="dxa"/>
            <w:vAlign w:val="center"/>
          </w:tcPr>
          <w:p w:rsidR="009A7013" w:rsidRPr="000D1093" w:rsidRDefault="009A7013" w:rsidP="000D1093">
            <w:pPr>
              <w:pStyle w:val="BodyText2"/>
              <w:jc w:val="both"/>
              <w:rPr>
                <w:rFonts w:asciiTheme="minorHAnsi" w:hAnsiTheme="minorHAnsi" w:cstheme="minorHAnsi"/>
                <w:b/>
                <w:bCs/>
                <w:sz w:val="22"/>
                <w:szCs w:val="22"/>
              </w:rPr>
            </w:pPr>
            <w:r w:rsidRPr="000D1093">
              <w:rPr>
                <w:rFonts w:asciiTheme="minorHAnsi" w:hAnsiTheme="minorHAnsi" w:cstheme="minorHAnsi"/>
                <w:b/>
                <w:sz w:val="22"/>
                <w:szCs w:val="22"/>
              </w:rPr>
              <w:t>2</w:t>
            </w:r>
          </w:p>
        </w:tc>
        <w:tc>
          <w:tcPr>
            <w:tcW w:w="8148" w:type="dxa"/>
            <w:vAlign w:val="center"/>
          </w:tcPr>
          <w:p w:rsidR="009A7013" w:rsidRPr="000D1093" w:rsidRDefault="009A7013" w:rsidP="00DB7B94">
            <w:pPr>
              <w:pStyle w:val="NoSpacing"/>
              <w:rPr>
                <w:rFonts w:asciiTheme="minorHAnsi" w:hAnsiTheme="minorHAnsi" w:cstheme="minorHAnsi"/>
                <w:bCs/>
                <w:sz w:val="22"/>
                <w:szCs w:val="22"/>
              </w:rPr>
            </w:pPr>
            <w:r w:rsidRPr="000D1093">
              <w:rPr>
                <w:rFonts w:asciiTheme="minorHAnsi" w:hAnsiTheme="minorHAnsi" w:cstheme="minorHAnsi"/>
                <w:sz w:val="22"/>
                <w:szCs w:val="22"/>
              </w:rPr>
              <w:t>Description détaillée de la méthodologie sur le</w:t>
            </w:r>
            <w:r w:rsidR="00DB7B94">
              <w:rPr>
                <w:rFonts w:asciiTheme="minorHAnsi" w:hAnsiTheme="minorHAnsi" w:cstheme="minorHAnsi"/>
                <w:sz w:val="22"/>
                <w:szCs w:val="22"/>
              </w:rPr>
              <w:t>s aspects de l’élaboration du</w:t>
            </w:r>
            <w:r w:rsidRPr="000D1093">
              <w:rPr>
                <w:rFonts w:asciiTheme="minorHAnsi" w:hAnsiTheme="minorHAnsi" w:cstheme="minorHAnsi"/>
                <w:sz w:val="22"/>
                <w:szCs w:val="22"/>
              </w:rPr>
              <w:t xml:space="preserve"> </w:t>
            </w:r>
            <w:r w:rsidR="00A25CC0">
              <w:rPr>
                <w:rFonts w:asciiTheme="minorHAnsi" w:hAnsiTheme="minorHAnsi" w:cstheme="minorHAnsi"/>
                <w:sz w:val="22"/>
                <w:szCs w:val="22"/>
              </w:rPr>
              <w:t>TB</w:t>
            </w:r>
            <w:r w:rsidR="00DB7B94">
              <w:rPr>
                <w:rFonts w:asciiTheme="minorHAnsi" w:hAnsiTheme="minorHAnsi" w:cstheme="minorHAnsi"/>
                <w:sz w:val="22"/>
                <w:szCs w:val="22"/>
              </w:rPr>
              <w:t>I</w:t>
            </w:r>
            <w:r w:rsidRPr="000D1093">
              <w:rPr>
                <w:rFonts w:asciiTheme="minorHAnsi" w:hAnsiTheme="minorHAnsi" w:cstheme="minorHAnsi"/>
                <w:sz w:val="22"/>
                <w:szCs w:val="22"/>
              </w:rPr>
              <w:t xml:space="preserve"> de l’UCMIT/MSPP</w:t>
            </w:r>
          </w:p>
        </w:tc>
        <w:tc>
          <w:tcPr>
            <w:tcW w:w="900" w:type="dxa"/>
            <w:vAlign w:val="center"/>
          </w:tcPr>
          <w:p w:rsidR="009A7013" w:rsidRPr="000D1093" w:rsidRDefault="009A7013" w:rsidP="000D1093">
            <w:pPr>
              <w:pStyle w:val="NoSpacing"/>
              <w:rPr>
                <w:rFonts w:asciiTheme="minorHAnsi" w:hAnsiTheme="minorHAnsi" w:cstheme="minorHAnsi"/>
                <w:bCs/>
                <w:sz w:val="22"/>
                <w:szCs w:val="22"/>
              </w:rPr>
            </w:pPr>
            <w:r w:rsidRPr="000D1093">
              <w:rPr>
                <w:rFonts w:asciiTheme="minorHAnsi" w:hAnsiTheme="minorHAnsi" w:cstheme="minorHAnsi"/>
                <w:sz w:val="22"/>
                <w:szCs w:val="22"/>
              </w:rPr>
              <w:t>25</w:t>
            </w:r>
          </w:p>
        </w:tc>
      </w:tr>
      <w:tr w:rsidR="009A7013" w:rsidRPr="007D69D6" w:rsidTr="00204B34">
        <w:trPr>
          <w:trHeight w:val="620"/>
        </w:trPr>
        <w:tc>
          <w:tcPr>
            <w:tcW w:w="456" w:type="dxa"/>
            <w:vAlign w:val="center"/>
          </w:tcPr>
          <w:p w:rsidR="009A7013" w:rsidRPr="000D1093" w:rsidRDefault="009A7013" w:rsidP="000D1093">
            <w:pPr>
              <w:pStyle w:val="BodyText2"/>
              <w:jc w:val="both"/>
              <w:rPr>
                <w:rFonts w:asciiTheme="minorHAnsi" w:hAnsiTheme="minorHAnsi" w:cstheme="minorHAnsi"/>
                <w:b/>
                <w:bCs/>
                <w:sz w:val="22"/>
                <w:szCs w:val="22"/>
              </w:rPr>
            </w:pPr>
            <w:r w:rsidRPr="000D1093">
              <w:rPr>
                <w:rFonts w:asciiTheme="minorHAnsi" w:hAnsiTheme="minorHAnsi" w:cstheme="minorHAnsi"/>
                <w:b/>
                <w:sz w:val="22"/>
                <w:szCs w:val="22"/>
              </w:rPr>
              <w:t>3</w:t>
            </w:r>
          </w:p>
        </w:tc>
        <w:tc>
          <w:tcPr>
            <w:tcW w:w="8148" w:type="dxa"/>
            <w:vAlign w:val="center"/>
          </w:tcPr>
          <w:p w:rsidR="009A7013" w:rsidRPr="000D1093" w:rsidRDefault="009A7013" w:rsidP="000D1093">
            <w:pPr>
              <w:pStyle w:val="NoSpacing"/>
              <w:rPr>
                <w:rFonts w:asciiTheme="minorHAnsi" w:hAnsiTheme="minorHAnsi" w:cstheme="minorHAnsi"/>
                <w:bCs/>
                <w:sz w:val="22"/>
                <w:szCs w:val="22"/>
              </w:rPr>
            </w:pPr>
            <w:r w:rsidRPr="000D1093">
              <w:rPr>
                <w:rFonts w:asciiTheme="minorHAnsi" w:hAnsiTheme="minorHAnsi" w:cstheme="minorHAnsi"/>
                <w:sz w:val="22"/>
                <w:szCs w:val="22"/>
              </w:rPr>
              <w:t xml:space="preserve">Logique du Budget proposé </w:t>
            </w:r>
          </w:p>
        </w:tc>
        <w:tc>
          <w:tcPr>
            <w:tcW w:w="900" w:type="dxa"/>
            <w:vAlign w:val="center"/>
          </w:tcPr>
          <w:p w:rsidR="009A7013" w:rsidRPr="000D1093" w:rsidRDefault="009A7013" w:rsidP="000D1093">
            <w:pPr>
              <w:pStyle w:val="NoSpacing"/>
              <w:rPr>
                <w:rFonts w:asciiTheme="minorHAnsi" w:hAnsiTheme="minorHAnsi" w:cstheme="minorHAnsi"/>
                <w:bCs/>
                <w:sz w:val="22"/>
                <w:szCs w:val="22"/>
              </w:rPr>
            </w:pPr>
            <w:r w:rsidRPr="000D1093">
              <w:rPr>
                <w:rFonts w:asciiTheme="minorHAnsi" w:hAnsiTheme="minorHAnsi" w:cstheme="minorHAnsi"/>
                <w:sz w:val="22"/>
                <w:szCs w:val="22"/>
              </w:rPr>
              <w:t>25</w:t>
            </w:r>
          </w:p>
        </w:tc>
      </w:tr>
      <w:tr w:rsidR="009A7013" w:rsidRPr="007D69D6" w:rsidTr="00204B34">
        <w:trPr>
          <w:trHeight w:val="575"/>
        </w:trPr>
        <w:tc>
          <w:tcPr>
            <w:tcW w:w="456" w:type="dxa"/>
            <w:vAlign w:val="center"/>
          </w:tcPr>
          <w:p w:rsidR="009A7013" w:rsidRPr="000D1093" w:rsidRDefault="009A7013" w:rsidP="000D1093">
            <w:pPr>
              <w:pStyle w:val="BodyText2"/>
              <w:jc w:val="both"/>
              <w:rPr>
                <w:rFonts w:asciiTheme="minorHAnsi" w:hAnsiTheme="minorHAnsi" w:cstheme="minorHAnsi"/>
                <w:b/>
                <w:bCs/>
                <w:sz w:val="22"/>
                <w:szCs w:val="22"/>
              </w:rPr>
            </w:pPr>
            <w:r w:rsidRPr="000D1093">
              <w:rPr>
                <w:rFonts w:asciiTheme="minorHAnsi" w:hAnsiTheme="minorHAnsi" w:cstheme="minorHAnsi"/>
                <w:b/>
                <w:bCs/>
                <w:sz w:val="22"/>
                <w:szCs w:val="22"/>
              </w:rPr>
              <w:t>4</w:t>
            </w:r>
          </w:p>
        </w:tc>
        <w:tc>
          <w:tcPr>
            <w:tcW w:w="8148" w:type="dxa"/>
            <w:vAlign w:val="center"/>
          </w:tcPr>
          <w:p w:rsidR="009A7013" w:rsidRPr="000D1093" w:rsidRDefault="009A7013" w:rsidP="000D1093">
            <w:pPr>
              <w:pStyle w:val="NoSpacing"/>
              <w:rPr>
                <w:rFonts w:asciiTheme="minorHAnsi" w:hAnsiTheme="minorHAnsi" w:cstheme="minorHAnsi"/>
                <w:bCs/>
                <w:sz w:val="22"/>
                <w:szCs w:val="22"/>
              </w:rPr>
            </w:pPr>
            <w:r w:rsidRPr="000D1093">
              <w:rPr>
                <w:rFonts w:asciiTheme="minorHAnsi" w:hAnsiTheme="minorHAnsi" w:cstheme="minorHAnsi"/>
                <w:sz w:val="22"/>
                <w:szCs w:val="22"/>
              </w:rPr>
              <w:t>Clarté et logique du chronogramme proposé</w:t>
            </w:r>
            <w:r w:rsidRPr="000D1093" w:rsidDel="00AF4814">
              <w:rPr>
                <w:rFonts w:asciiTheme="minorHAnsi" w:hAnsiTheme="minorHAnsi" w:cstheme="minorHAnsi"/>
                <w:sz w:val="22"/>
                <w:szCs w:val="22"/>
              </w:rPr>
              <w:t xml:space="preserve"> </w:t>
            </w:r>
          </w:p>
        </w:tc>
        <w:tc>
          <w:tcPr>
            <w:tcW w:w="900" w:type="dxa"/>
            <w:vAlign w:val="center"/>
          </w:tcPr>
          <w:p w:rsidR="009A7013" w:rsidRPr="000D1093" w:rsidRDefault="009A7013" w:rsidP="000D1093">
            <w:pPr>
              <w:pStyle w:val="NoSpacing"/>
              <w:rPr>
                <w:rFonts w:asciiTheme="minorHAnsi" w:hAnsiTheme="minorHAnsi" w:cstheme="minorHAnsi"/>
                <w:bCs/>
                <w:sz w:val="22"/>
                <w:szCs w:val="22"/>
              </w:rPr>
            </w:pPr>
            <w:r w:rsidRPr="000D1093">
              <w:rPr>
                <w:rFonts w:asciiTheme="minorHAnsi" w:hAnsiTheme="minorHAnsi" w:cstheme="minorHAnsi"/>
                <w:sz w:val="22"/>
                <w:szCs w:val="22"/>
              </w:rPr>
              <w:t>20</w:t>
            </w:r>
          </w:p>
        </w:tc>
      </w:tr>
      <w:tr w:rsidR="009A7013" w:rsidRPr="007D69D6" w:rsidTr="00204B34">
        <w:trPr>
          <w:trHeight w:val="512"/>
        </w:trPr>
        <w:tc>
          <w:tcPr>
            <w:tcW w:w="8604" w:type="dxa"/>
            <w:gridSpan w:val="2"/>
          </w:tcPr>
          <w:p w:rsidR="009A7013" w:rsidRPr="000D1093" w:rsidRDefault="009A7013" w:rsidP="000D1093">
            <w:pPr>
              <w:pStyle w:val="BodyText2"/>
              <w:jc w:val="both"/>
              <w:rPr>
                <w:rFonts w:asciiTheme="minorHAnsi" w:hAnsiTheme="minorHAnsi" w:cstheme="minorHAnsi"/>
                <w:b/>
                <w:sz w:val="22"/>
                <w:szCs w:val="22"/>
              </w:rPr>
            </w:pPr>
            <w:r w:rsidRPr="000D1093">
              <w:rPr>
                <w:rFonts w:asciiTheme="minorHAnsi" w:hAnsiTheme="minorHAnsi" w:cstheme="minorHAnsi"/>
                <w:b/>
                <w:sz w:val="22"/>
                <w:szCs w:val="22"/>
              </w:rPr>
              <w:t>Total</w:t>
            </w:r>
          </w:p>
        </w:tc>
        <w:tc>
          <w:tcPr>
            <w:tcW w:w="900" w:type="dxa"/>
            <w:vAlign w:val="center"/>
          </w:tcPr>
          <w:p w:rsidR="009A7013" w:rsidRPr="000D1093" w:rsidRDefault="009A7013" w:rsidP="000D1093">
            <w:pPr>
              <w:pStyle w:val="BodyText2"/>
              <w:jc w:val="both"/>
              <w:rPr>
                <w:rFonts w:asciiTheme="minorHAnsi" w:hAnsiTheme="minorHAnsi" w:cstheme="minorHAnsi"/>
                <w:b/>
                <w:bCs/>
                <w:sz w:val="22"/>
                <w:szCs w:val="22"/>
              </w:rPr>
            </w:pPr>
            <w:r w:rsidRPr="000D1093">
              <w:rPr>
                <w:rFonts w:asciiTheme="minorHAnsi" w:hAnsiTheme="minorHAnsi" w:cstheme="minorHAnsi"/>
                <w:b/>
                <w:bCs/>
                <w:sz w:val="22"/>
                <w:szCs w:val="22"/>
              </w:rPr>
              <w:t>100</w:t>
            </w:r>
          </w:p>
        </w:tc>
      </w:tr>
    </w:tbl>
    <w:p w:rsidR="009A7013" w:rsidRDefault="009A7013" w:rsidP="000D1093">
      <w:pPr>
        <w:spacing w:after="120"/>
        <w:jc w:val="both"/>
      </w:pPr>
    </w:p>
    <w:p w:rsidR="009A7013" w:rsidRPr="009A7013" w:rsidRDefault="009A7013" w:rsidP="000D1093">
      <w:pPr>
        <w:pStyle w:val="ListParagraph"/>
        <w:numPr>
          <w:ilvl w:val="0"/>
          <w:numId w:val="7"/>
        </w:numPr>
        <w:spacing w:after="120"/>
        <w:jc w:val="both"/>
        <w:rPr>
          <w:b/>
          <w:u w:val="single"/>
        </w:rPr>
      </w:pPr>
      <w:r w:rsidRPr="009A7013">
        <w:rPr>
          <w:b/>
          <w:u w:val="single"/>
        </w:rPr>
        <w:t>Arrangements techniques et administratifs</w:t>
      </w:r>
    </w:p>
    <w:p w:rsidR="009A7013" w:rsidRPr="00A60ECB" w:rsidRDefault="009A7013" w:rsidP="000D1093">
      <w:pPr>
        <w:spacing w:after="120"/>
        <w:jc w:val="both"/>
      </w:pPr>
      <w:r w:rsidRPr="00A60ECB">
        <w:t xml:space="preserve">Le consultant sera sous la supervision directe </w:t>
      </w:r>
      <w:r w:rsidR="00307EAC">
        <w:t>du Directeur Exécutif de l’UCMIT/MSPP</w:t>
      </w:r>
      <w:r w:rsidRPr="00A60ECB">
        <w:t xml:space="preserve">. Mais, </w:t>
      </w:r>
      <w:r>
        <w:t xml:space="preserve">il </w:t>
      </w:r>
      <w:r w:rsidRPr="00A60ECB">
        <w:t>travaillera en étroite collaboration avec l</w:t>
      </w:r>
      <w:r w:rsidR="00307EAC">
        <w:t>es</w:t>
      </w:r>
      <w:r w:rsidRPr="00A60ECB">
        <w:t xml:space="preserve"> responsable</w:t>
      </w:r>
      <w:r w:rsidR="00307EAC">
        <w:t>s</w:t>
      </w:r>
      <w:r w:rsidRPr="00A60ECB">
        <w:t xml:space="preserve"> d</w:t>
      </w:r>
      <w:r w:rsidR="00307EAC">
        <w:t>e</w:t>
      </w:r>
      <w:r w:rsidRPr="00A60ECB">
        <w:t xml:space="preserve"> service</w:t>
      </w:r>
      <w:r w:rsidR="00307EAC">
        <w:t>s</w:t>
      </w:r>
      <w:r w:rsidRPr="00A60ECB">
        <w:t xml:space="preserve"> Suivi et Evaluation</w:t>
      </w:r>
      <w:r w:rsidR="00307EAC">
        <w:t xml:space="preserve"> des trois programmes de l’UCMIT</w:t>
      </w:r>
      <w:r w:rsidRPr="00A60ECB">
        <w:t xml:space="preserve"> pour la gestion des relations </w:t>
      </w:r>
      <w:r>
        <w:t>pour la collecte des données de dépenses 2018</w:t>
      </w:r>
      <w:r w:rsidR="00853071">
        <w:t xml:space="preserve"> et 2019</w:t>
      </w:r>
      <w:r>
        <w:t xml:space="preserve">. </w:t>
      </w:r>
      <w:r w:rsidRPr="00A60ECB">
        <w:t xml:space="preserve"> </w:t>
      </w:r>
    </w:p>
    <w:p w:rsidR="009A7013" w:rsidRDefault="009A7013" w:rsidP="000D1093">
      <w:pPr>
        <w:spacing w:after="120"/>
        <w:jc w:val="both"/>
      </w:pPr>
      <w:r w:rsidRPr="00A60ECB">
        <w:t>Les honoraires du consultant seront payés par le projet « </w:t>
      </w:r>
      <w:r>
        <w:t>UCMIT/MSPP</w:t>
      </w:r>
      <w:r w:rsidRPr="00A60ECB">
        <w:t xml:space="preserve"> » de la subvention </w:t>
      </w:r>
      <w:r>
        <w:t>UGP/PEPFAR</w:t>
      </w:r>
      <w:r w:rsidRPr="00A60ECB">
        <w:t xml:space="preserve"> est le récipiendaire principal. Les arrangements contractuels incluront d’autres éléments non mentionnés dans ces Termes de R</w:t>
      </w:r>
      <w:r>
        <w:t>éférence qui obligeront les</w:t>
      </w:r>
      <w:r w:rsidRPr="00A60ECB">
        <w:t xml:space="preserve"> parties signataires à respecter le calendrier d’exécution, la production des extrants et le paiement de cette consultation technique.</w:t>
      </w:r>
    </w:p>
    <w:p w:rsidR="000D1093" w:rsidRDefault="000D1093" w:rsidP="000D1093">
      <w:pPr>
        <w:spacing w:after="120"/>
        <w:jc w:val="both"/>
      </w:pPr>
    </w:p>
    <w:p w:rsidR="009A7013" w:rsidRDefault="009A7013" w:rsidP="000D1093">
      <w:pPr>
        <w:pStyle w:val="ListParagraph"/>
        <w:numPr>
          <w:ilvl w:val="0"/>
          <w:numId w:val="7"/>
        </w:numPr>
        <w:spacing w:after="0" w:line="240" w:lineRule="auto"/>
        <w:jc w:val="both"/>
        <w:rPr>
          <w:rFonts w:eastAsia="Times New Roman" w:cstheme="minorHAnsi"/>
        </w:rPr>
      </w:pPr>
      <w:r w:rsidRPr="009A7013">
        <w:rPr>
          <w:rFonts w:eastAsia="Times New Roman" w:cstheme="minorHAnsi"/>
          <w:b/>
          <w:u w:val="single"/>
        </w:rPr>
        <w:t>Profil du consultant</w:t>
      </w:r>
      <w:r w:rsidRPr="009A7013">
        <w:rPr>
          <w:rFonts w:eastAsia="Times New Roman" w:cstheme="minorHAnsi"/>
        </w:rPr>
        <w:t xml:space="preserve"> </w:t>
      </w:r>
    </w:p>
    <w:p w:rsidR="009A7013" w:rsidRPr="009A7013" w:rsidRDefault="009A7013" w:rsidP="000D1093">
      <w:pPr>
        <w:pStyle w:val="ListParagraph"/>
        <w:spacing w:after="0" w:line="240" w:lineRule="auto"/>
        <w:jc w:val="both"/>
        <w:rPr>
          <w:rFonts w:eastAsia="Times New Roman" w:cstheme="minorHAnsi"/>
        </w:rPr>
      </w:pPr>
    </w:p>
    <w:p w:rsidR="009A7013" w:rsidRPr="009A7013" w:rsidRDefault="009A7013" w:rsidP="000D1093">
      <w:pPr>
        <w:spacing w:after="0" w:line="240" w:lineRule="auto"/>
        <w:jc w:val="both"/>
        <w:rPr>
          <w:rFonts w:eastAsia="Times New Roman" w:cstheme="minorHAnsi"/>
        </w:rPr>
      </w:pPr>
      <w:r w:rsidRPr="009A7013">
        <w:rPr>
          <w:rFonts w:eastAsia="Times New Roman" w:cstheme="minorHAnsi"/>
        </w:rPr>
        <w:t xml:space="preserve">a) Le consultant doit être titulaire d’une maîtrise ou d’un diplôme d’ingénieur en Informatique ou d’un diplôme équivalent en sciences humaines ou économiques (ou en informatique appliquée à la gestion/analyse de gestion) ou autre qualification similaire et avoir une expérience significative en matière d’analyse, de conception et de gestion de projets et des systèmes d’informations et suivi-évaluation. </w:t>
      </w:r>
    </w:p>
    <w:p w:rsidR="009A7013" w:rsidRPr="009A7013" w:rsidRDefault="009A7013" w:rsidP="000D1093">
      <w:pPr>
        <w:spacing w:after="0" w:line="240" w:lineRule="auto"/>
        <w:jc w:val="both"/>
        <w:rPr>
          <w:rFonts w:eastAsia="Times New Roman" w:cstheme="minorHAnsi"/>
        </w:rPr>
      </w:pPr>
      <w:r w:rsidRPr="009A7013">
        <w:rPr>
          <w:rFonts w:eastAsia="Times New Roman" w:cstheme="minorHAnsi"/>
        </w:rPr>
        <w:t xml:space="preserve">b) Le consultant doit avoir au moins quatre ans d’expérience dans l’analyse de systèmes d’information avec une expérience significative en analyse-conception des différentes plateformes informatiques. Le suivi et évaluation de projets et programmes de développement (maitrise de cadre logique axé sur les résultats, formation des cadres en suivi-évaluation, définition d'indicateurs, de cadres de mesure de performances, tableaux de bord, manuels de procédures de S&amp;E, gestion et traitement informatisé de données, systèmes d'information géographiques, </w:t>
      </w:r>
      <w:proofErr w:type="spellStart"/>
      <w:r w:rsidRPr="009A7013">
        <w:rPr>
          <w:rFonts w:eastAsia="Times New Roman" w:cstheme="minorHAnsi"/>
        </w:rPr>
        <w:t>etc</w:t>
      </w:r>
      <w:proofErr w:type="spellEnd"/>
      <w:r w:rsidRPr="009A7013">
        <w:rPr>
          <w:rFonts w:eastAsia="Times New Roman" w:cstheme="minorHAnsi"/>
        </w:rPr>
        <w:t xml:space="preserve">) est considérablement souhaité. </w:t>
      </w:r>
    </w:p>
    <w:p w:rsidR="009A7013" w:rsidRPr="009A7013" w:rsidRDefault="009A7013" w:rsidP="000D1093">
      <w:pPr>
        <w:spacing w:after="0" w:line="240" w:lineRule="auto"/>
        <w:jc w:val="both"/>
        <w:rPr>
          <w:rFonts w:eastAsia="Times New Roman" w:cstheme="minorHAnsi"/>
        </w:rPr>
      </w:pPr>
      <w:r w:rsidRPr="009A7013">
        <w:rPr>
          <w:rFonts w:eastAsia="Times New Roman" w:cstheme="minorHAnsi"/>
        </w:rPr>
        <w:lastRenderedPageBreak/>
        <w:t>c</w:t>
      </w:r>
      <w:r w:rsidR="000D1093">
        <w:rPr>
          <w:rFonts w:eastAsia="Times New Roman" w:cstheme="minorHAnsi"/>
        </w:rPr>
        <w:t>)</w:t>
      </w:r>
      <w:r w:rsidRPr="009A7013">
        <w:rPr>
          <w:rFonts w:eastAsia="Times New Roman" w:cstheme="minorHAnsi"/>
        </w:rPr>
        <w:t xml:space="preserve"> Expertise confirmée dans la conception architecturale des systèmes d’informations, la gestion du cycle de projet, la gestion axée sur les résultats, le suivi-évaluation orienté vers l’impact, et analyses des données est l’une des grandes exigences. d. Connaissance l’outil informatique et des bases de données relationnelles. e. Nécessite des compétences et une expérience significative en leadership, planification, conception, analyse des données, communication et résolution des problèmes.</w:t>
      </w:r>
    </w:p>
    <w:p w:rsidR="009A7013" w:rsidRPr="009A7013" w:rsidRDefault="009A7013" w:rsidP="000D1093">
      <w:pPr>
        <w:spacing w:after="0" w:line="240" w:lineRule="auto"/>
        <w:jc w:val="both"/>
        <w:rPr>
          <w:rFonts w:eastAsia="Times New Roman" w:cstheme="minorHAnsi"/>
        </w:rPr>
      </w:pPr>
      <w:r w:rsidRPr="009A7013">
        <w:rPr>
          <w:rFonts w:eastAsia="Times New Roman" w:cstheme="minorHAnsi"/>
        </w:rPr>
        <w:t>f</w:t>
      </w:r>
      <w:r w:rsidR="000D1093">
        <w:rPr>
          <w:rFonts w:eastAsia="Times New Roman" w:cstheme="minorHAnsi"/>
        </w:rPr>
        <w:t xml:space="preserve">) </w:t>
      </w:r>
      <w:r w:rsidRPr="009A7013">
        <w:rPr>
          <w:rFonts w:eastAsia="Times New Roman" w:cstheme="minorHAnsi"/>
        </w:rPr>
        <w:t>Expertise professionnelle en matière de conceptualisation, de collecte des exigences métiers complexes, de planification et d’architecture de solutions informatiques permettant de guider la conception et le développement de systèmes informatiques complexes. Cela nécessitera des compétences analytiques, techniques et de direction pour la création et l’évolution des différentes plateformes de la Banque.</w:t>
      </w:r>
    </w:p>
    <w:p w:rsidR="009A7013" w:rsidRPr="009A7013" w:rsidRDefault="000D1093" w:rsidP="000D1093">
      <w:pPr>
        <w:spacing w:after="0" w:line="240" w:lineRule="auto"/>
        <w:jc w:val="both"/>
        <w:rPr>
          <w:rFonts w:eastAsia="Times New Roman" w:cstheme="minorHAnsi"/>
        </w:rPr>
      </w:pPr>
      <w:r>
        <w:rPr>
          <w:rFonts w:eastAsia="Times New Roman" w:cstheme="minorHAnsi"/>
        </w:rPr>
        <w:t>g)</w:t>
      </w:r>
      <w:r w:rsidR="009A7013" w:rsidRPr="009A7013">
        <w:rPr>
          <w:rFonts w:eastAsia="Times New Roman" w:cstheme="minorHAnsi"/>
        </w:rPr>
        <w:t xml:space="preserve"> Expertise spécifique dans l'analyse et la mise en place des applications pour la gestion des projets, le suivi des impacts, le suivi du portefeuille taches et le suivi des taches.</w:t>
      </w:r>
    </w:p>
    <w:p w:rsidR="009A7013" w:rsidRPr="009A7013" w:rsidRDefault="000D1093" w:rsidP="000D1093">
      <w:pPr>
        <w:spacing w:after="0" w:line="240" w:lineRule="auto"/>
        <w:jc w:val="both"/>
        <w:rPr>
          <w:rFonts w:eastAsia="Times New Roman" w:cstheme="minorHAnsi"/>
        </w:rPr>
      </w:pPr>
      <w:r>
        <w:rPr>
          <w:rFonts w:eastAsia="Times New Roman" w:cstheme="minorHAnsi"/>
        </w:rPr>
        <w:t>h)</w:t>
      </w:r>
      <w:r w:rsidR="009A7013" w:rsidRPr="009A7013">
        <w:rPr>
          <w:rFonts w:eastAsia="Times New Roman" w:cstheme="minorHAnsi"/>
        </w:rPr>
        <w:t xml:space="preserve"> Capacité et expertise en matière d'organisation de réunions de lancement, d'ateliers et de démonstrations au cours de différentes phases d'analyse de projet.</w:t>
      </w:r>
    </w:p>
    <w:p w:rsidR="009A7013" w:rsidRPr="009A7013" w:rsidRDefault="000D1093" w:rsidP="000D1093">
      <w:pPr>
        <w:spacing w:after="0" w:line="240" w:lineRule="auto"/>
        <w:jc w:val="both"/>
        <w:rPr>
          <w:rFonts w:eastAsia="Times New Roman" w:cstheme="minorHAnsi"/>
        </w:rPr>
      </w:pPr>
      <w:r>
        <w:rPr>
          <w:rFonts w:eastAsia="Times New Roman" w:cstheme="minorHAnsi"/>
        </w:rPr>
        <w:t>i)</w:t>
      </w:r>
      <w:r w:rsidR="009A7013" w:rsidRPr="009A7013">
        <w:rPr>
          <w:rFonts w:eastAsia="Times New Roman" w:cstheme="minorHAnsi"/>
        </w:rPr>
        <w:t xml:space="preserve"> Expérience de la rédaction de notes conceptuelles, d'analyses de rentabilisation, de modèles de processus opérationnels, de documents de gestion des exigences, etc.</w:t>
      </w:r>
    </w:p>
    <w:p w:rsidR="009A7013" w:rsidRPr="00A60ECB" w:rsidRDefault="009A7013" w:rsidP="000D1093">
      <w:pPr>
        <w:spacing w:after="120"/>
        <w:ind w:left="720"/>
        <w:jc w:val="both"/>
      </w:pPr>
    </w:p>
    <w:p w:rsidR="009A7013" w:rsidRPr="000D1093" w:rsidRDefault="009A7013" w:rsidP="000D1093">
      <w:pPr>
        <w:numPr>
          <w:ilvl w:val="0"/>
          <w:numId w:val="7"/>
        </w:numPr>
        <w:spacing w:after="120" w:line="240" w:lineRule="auto"/>
        <w:jc w:val="both"/>
        <w:rPr>
          <w:b/>
          <w:u w:val="single"/>
        </w:rPr>
      </w:pPr>
      <w:r w:rsidRPr="000D1093">
        <w:rPr>
          <w:b/>
          <w:u w:val="single"/>
        </w:rPr>
        <w:t>Composition du dossier de soumission</w:t>
      </w:r>
    </w:p>
    <w:p w:rsidR="009A7013" w:rsidRPr="00A60ECB" w:rsidRDefault="009A7013" w:rsidP="000D1093">
      <w:pPr>
        <w:autoSpaceDE w:val="0"/>
        <w:autoSpaceDN w:val="0"/>
        <w:adjustRightInd w:val="0"/>
        <w:spacing w:after="120"/>
        <w:jc w:val="both"/>
      </w:pPr>
      <w:r w:rsidRPr="00A60ECB">
        <w:t>Le dossier de soumission doit comprendre :</w:t>
      </w:r>
    </w:p>
    <w:p w:rsidR="009A7013" w:rsidRPr="00A60ECB" w:rsidRDefault="009A7013" w:rsidP="000D1093">
      <w:pPr>
        <w:numPr>
          <w:ilvl w:val="0"/>
          <w:numId w:val="5"/>
        </w:numPr>
        <w:autoSpaceDE w:val="0"/>
        <w:autoSpaceDN w:val="0"/>
        <w:adjustRightInd w:val="0"/>
        <w:spacing w:after="120" w:line="240" w:lineRule="auto"/>
        <w:jc w:val="both"/>
      </w:pPr>
      <w:r w:rsidRPr="00A60ECB">
        <w:t>Une lettre d’intention ;</w:t>
      </w:r>
    </w:p>
    <w:p w:rsidR="009A7013" w:rsidRPr="00A60ECB" w:rsidRDefault="009A7013" w:rsidP="000D1093">
      <w:pPr>
        <w:numPr>
          <w:ilvl w:val="0"/>
          <w:numId w:val="5"/>
        </w:numPr>
        <w:autoSpaceDE w:val="0"/>
        <w:autoSpaceDN w:val="0"/>
        <w:adjustRightInd w:val="0"/>
        <w:spacing w:after="120" w:line="240" w:lineRule="auto"/>
        <w:jc w:val="both"/>
      </w:pPr>
      <w:r w:rsidRPr="00A60ECB">
        <w:t>Le curriculum vitae du postulant ;</w:t>
      </w:r>
    </w:p>
    <w:p w:rsidR="009A7013" w:rsidRPr="00A60ECB" w:rsidRDefault="009A7013" w:rsidP="000D1093">
      <w:pPr>
        <w:numPr>
          <w:ilvl w:val="0"/>
          <w:numId w:val="5"/>
        </w:numPr>
        <w:autoSpaceDE w:val="0"/>
        <w:autoSpaceDN w:val="0"/>
        <w:adjustRightInd w:val="0"/>
        <w:spacing w:after="120" w:line="240" w:lineRule="auto"/>
        <w:jc w:val="both"/>
      </w:pPr>
      <w:r w:rsidRPr="00A60ECB">
        <w:t>Une proposition technique ;</w:t>
      </w:r>
    </w:p>
    <w:p w:rsidR="009A7013" w:rsidRPr="00A60ECB" w:rsidRDefault="009A7013" w:rsidP="000D1093">
      <w:pPr>
        <w:numPr>
          <w:ilvl w:val="0"/>
          <w:numId w:val="5"/>
        </w:numPr>
        <w:autoSpaceDE w:val="0"/>
        <w:autoSpaceDN w:val="0"/>
        <w:adjustRightInd w:val="0"/>
        <w:spacing w:after="120" w:line="240" w:lineRule="auto"/>
        <w:jc w:val="both"/>
      </w:pPr>
      <w:r w:rsidRPr="00A60ECB">
        <w:t>Une proposition financière</w:t>
      </w:r>
      <w:r>
        <w:t xml:space="preserve"> pour l’élaboration de la (</w:t>
      </w:r>
      <w:r w:rsidR="00307EAC">
        <w:rPr>
          <w:b/>
          <w:bCs/>
        </w:rPr>
        <w:t>Tableau de Bord de visualisation</w:t>
      </w:r>
      <w:r w:rsidR="00DB7B94">
        <w:rPr>
          <w:b/>
          <w:bCs/>
        </w:rPr>
        <w:t xml:space="preserve"> Intégré</w:t>
      </w:r>
      <w:r>
        <w:t>).</w:t>
      </w:r>
    </w:p>
    <w:p w:rsidR="009A7013" w:rsidRDefault="009A7013" w:rsidP="000D1093">
      <w:pPr>
        <w:spacing w:after="120"/>
        <w:jc w:val="both"/>
        <w:rPr>
          <w:rFonts w:ascii="Calibri" w:hAnsi="Calibri"/>
          <w:b/>
        </w:rPr>
      </w:pPr>
    </w:p>
    <w:p w:rsidR="009A7013" w:rsidRPr="000D1093" w:rsidRDefault="009A7013" w:rsidP="000D1093">
      <w:pPr>
        <w:numPr>
          <w:ilvl w:val="0"/>
          <w:numId w:val="7"/>
        </w:numPr>
        <w:spacing w:after="120" w:line="240" w:lineRule="auto"/>
        <w:jc w:val="both"/>
        <w:rPr>
          <w:u w:val="single"/>
        </w:rPr>
      </w:pPr>
      <w:r w:rsidRPr="000D1093">
        <w:rPr>
          <w:b/>
          <w:u w:val="single"/>
        </w:rPr>
        <w:t xml:space="preserve">Dépôt des dossiers </w:t>
      </w:r>
    </w:p>
    <w:p w:rsidR="009A7013" w:rsidRPr="00A60ECB" w:rsidRDefault="009A7013" w:rsidP="000D1093">
      <w:pPr>
        <w:autoSpaceDE w:val="0"/>
        <w:autoSpaceDN w:val="0"/>
        <w:adjustRightInd w:val="0"/>
        <w:spacing w:after="120"/>
        <w:jc w:val="both"/>
        <w:rPr>
          <w:bCs/>
        </w:rPr>
      </w:pPr>
      <w:r w:rsidRPr="00A60ECB">
        <w:rPr>
          <w:bCs/>
        </w:rPr>
        <w:t xml:space="preserve">Les dossiers de soumission </w:t>
      </w:r>
      <w:r>
        <w:rPr>
          <w:bCs/>
        </w:rPr>
        <w:t xml:space="preserve">(5 copies) </w:t>
      </w:r>
      <w:r w:rsidRPr="00A60ECB">
        <w:rPr>
          <w:bCs/>
        </w:rPr>
        <w:t>doivent être déposés sous plis cachet</w:t>
      </w:r>
      <w:r w:rsidRPr="00A60ECB">
        <w:rPr>
          <w:bCs/>
          <w:lang w:eastAsia="ja-JP"/>
        </w:rPr>
        <w:t>és</w:t>
      </w:r>
      <w:r w:rsidRPr="00A60ECB">
        <w:rPr>
          <w:bCs/>
        </w:rPr>
        <w:t xml:space="preserve"> à l’adresse suivante # 2, Rue </w:t>
      </w:r>
      <w:proofErr w:type="spellStart"/>
      <w:r w:rsidRPr="00A60ECB">
        <w:rPr>
          <w:bCs/>
        </w:rPr>
        <w:t>Boisrond</w:t>
      </w:r>
      <w:proofErr w:type="spellEnd"/>
      <w:r w:rsidRPr="00A60ECB">
        <w:rPr>
          <w:bCs/>
        </w:rPr>
        <w:t xml:space="preserve"> Canal, Puits Blain 24, Pétion-ville, au plus tard</w:t>
      </w:r>
      <w:r w:rsidRPr="00A60ECB">
        <w:rPr>
          <w:b/>
          <w:bCs/>
        </w:rPr>
        <w:t xml:space="preserve">, le </w:t>
      </w:r>
      <w:r w:rsidR="00307EAC">
        <w:rPr>
          <w:b/>
          <w:bCs/>
        </w:rPr>
        <w:t xml:space="preserve">vendredi 27 septembre 2019 </w:t>
      </w:r>
      <w:r w:rsidRPr="00A60ECB">
        <w:rPr>
          <w:b/>
          <w:bCs/>
        </w:rPr>
        <w:t>à 4h00pm</w:t>
      </w:r>
      <w:r w:rsidRPr="00A60ECB">
        <w:rPr>
          <w:bCs/>
        </w:rPr>
        <w:t>. L’enveloppe doit porter le nom du soumissionnaire avec la mention « </w:t>
      </w:r>
      <w:r w:rsidRPr="009A7013">
        <w:rPr>
          <w:b/>
          <w:bCs/>
        </w:rPr>
        <w:t>UCMIT/MSPP (</w:t>
      </w:r>
      <w:r w:rsidR="00307EAC">
        <w:rPr>
          <w:b/>
          <w:bCs/>
        </w:rPr>
        <w:t xml:space="preserve">Tableau de Bord </w:t>
      </w:r>
      <w:r w:rsidR="00DB7B94">
        <w:rPr>
          <w:b/>
          <w:bCs/>
        </w:rPr>
        <w:t>Intégré</w:t>
      </w:r>
      <w:r w:rsidRPr="009A7013">
        <w:rPr>
          <w:b/>
          <w:bCs/>
        </w:rPr>
        <w:t>)</w:t>
      </w:r>
      <w:r w:rsidRPr="00A60ECB">
        <w:rPr>
          <w:bCs/>
        </w:rPr>
        <w:t> ».</w:t>
      </w:r>
    </w:p>
    <w:p w:rsidR="009A7013" w:rsidRDefault="009A7013" w:rsidP="000D1093">
      <w:pPr>
        <w:spacing w:after="0" w:line="240" w:lineRule="auto"/>
        <w:jc w:val="both"/>
        <w:rPr>
          <w:rFonts w:ascii="Arial" w:eastAsia="Times New Roman" w:hAnsi="Arial" w:cs="Arial"/>
        </w:rPr>
      </w:pPr>
    </w:p>
    <w:sectPr w:rsidR="009A70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FF" w:rsidRDefault="00C37CFF" w:rsidP="00C37CFF">
      <w:pPr>
        <w:spacing w:after="0" w:line="240" w:lineRule="auto"/>
      </w:pPr>
      <w:r>
        <w:separator/>
      </w:r>
    </w:p>
  </w:endnote>
  <w:endnote w:type="continuationSeparator" w:id="0">
    <w:p w:rsidR="00C37CFF" w:rsidRDefault="00C37CFF" w:rsidP="00C3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FF" w:rsidRDefault="00C37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FF" w:rsidRDefault="00C37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FF" w:rsidRDefault="00C37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FF" w:rsidRDefault="00C37CFF" w:rsidP="00C37CFF">
      <w:pPr>
        <w:spacing w:after="0" w:line="240" w:lineRule="auto"/>
      </w:pPr>
      <w:r>
        <w:separator/>
      </w:r>
    </w:p>
  </w:footnote>
  <w:footnote w:type="continuationSeparator" w:id="0">
    <w:p w:rsidR="00C37CFF" w:rsidRDefault="00C37CFF" w:rsidP="00C37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FF" w:rsidRDefault="00C37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FF" w:rsidRDefault="00C37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FF" w:rsidRDefault="00C37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7528"/>
    <w:multiLevelType w:val="hybridMultilevel"/>
    <w:tmpl w:val="817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73128"/>
    <w:multiLevelType w:val="hybridMultilevel"/>
    <w:tmpl w:val="66880E94"/>
    <w:lvl w:ilvl="0" w:tplc="B5BEC4E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6CE4"/>
    <w:multiLevelType w:val="hybridMultilevel"/>
    <w:tmpl w:val="8E58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951E7"/>
    <w:multiLevelType w:val="hybridMultilevel"/>
    <w:tmpl w:val="70DE94F4"/>
    <w:lvl w:ilvl="0" w:tplc="CA2A3A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D29E7"/>
    <w:multiLevelType w:val="hybridMultilevel"/>
    <w:tmpl w:val="5B1E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02AA8"/>
    <w:multiLevelType w:val="hybridMultilevel"/>
    <w:tmpl w:val="776AB2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5001EA"/>
    <w:multiLevelType w:val="hybridMultilevel"/>
    <w:tmpl w:val="21D43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44B7E"/>
    <w:multiLevelType w:val="hybridMultilevel"/>
    <w:tmpl w:val="D754484A"/>
    <w:lvl w:ilvl="0" w:tplc="DF72C5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33985"/>
    <w:multiLevelType w:val="hybridMultilevel"/>
    <w:tmpl w:val="A920D0F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0"/>
  </w:num>
  <w:num w:numId="5">
    <w:abstractNumId w:val="4"/>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6C"/>
    <w:rsid w:val="0007190A"/>
    <w:rsid w:val="00074A90"/>
    <w:rsid w:val="000D1093"/>
    <w:rsid w:val="00306649"/>
    <w:rsid w:val="00307EAC"/>
    <w:rsid w:val="00484095"/>
    <w:rsid w:val="004F563E"/>
    <w:rsid w:val="005039B0"/>
    <w:rsid w:val="0059016C"/>
    <w:rsid w:val="00716E2F"/>
    <w:rsid w:val="00853071"/>
    <w:rsid w:val="008625D0"/>
    <w:rsid w:val="009510AC"/>
    <w:rsid w:val="009A7013"/>
    <w:rsid w:val="009D5E13"/>
    <w:rsid w:val="00A11E14"/>
    <w:rsid w:val="00A25CC0"/>
    <w:rsid w:val="00B2698A"/>
    <w:rsid w:val="00C37CFF"/>
    <w:rsid w:val="00CE4422"/>
    <w:rsid w:val="00DB7B94"/>
    <w:rsid w:val="00F54AA8"/>
    <w:rsid w:val="00F910B0"/>
    <w:rsid w:val="00FC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3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16C"/>
    <w:pPr>
      <w:ind w:left="720"/>
      <w:contextualSpacing/>
    </w:pPr>
  </w:style>
  <w:style w:type="paragraph" w:styleId="BlockText">
    <w:name w:val="Block Text"/>
    <w:basedOn w:val="Normal"/>
    <w:uiPriority w:val="31"/>
    <w:unhideWhenUsed/>
    <w:rsid w:val="009A7013"/>
    <w:pPr>
      <w:spacing w:before="360" w:after="360" w:line="312" w:lineRule="auto"/>
    </w:pPr>
    <w:rPr>
      <w:rFonts w:eastAsiaTheme="minorEastAsia"/>
      <w:iCs/>
      <w:color w:val="265898" w:themeColor="text2" w:themeTint="E6"/>
      <w:sz w:val="28"/>
      <w:lang w:eastAsia="ja-JP" w:bidi="fr-FR"/>
    </w:rPr>
  </w:style>
  <w:style w:type="paragraph" w:styleId="BodyText2">
    <w:name w:val="Body Text 2"/>
    <w:basedOn w:val="Normal"/>
    <w:link w:val="BodyText2Char"/>
    <w:uiPriority w:val="99"/>
    <w:semiHidden/>
    <w:unhideWhenUsed/>
    <w:rsid w:val="009A701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A7013"/>
    <w:rPr>
      <w:rFonts w:ascii="Times New Roman" w:eastAsia="Times New Roman" w:hAnsi="Times New Roman" w:cs="Times New Roman"/>
      <w:sz w:val="24"/>
      <w:szCs w:val="24"/>
      <w:lang w:val="fr-FR"/>
    </w:rPr>
  </w:style>
  <w:style w:type="paragraph" w:styleId="NoSpacing">
    <w:name w:val="No Spacing"/>
    <w:link w:val="NoSpacingChar"/>
    <w:uiPriority w:val="1"/>
    <w:qFormat/>
    <w:rsid w:val="009A7013"/>
    <w:pPr>
      <w:spacing w:after="0" w:line="240" w:lineRule="auto"/>
      <w:jc w:val="both"/>
    </w:pPr>
    <w:rPr>
      <w:rFonts w:ascii="Times New Roman" w:eastAsia="MS Mincho" w:hAnsi="Times New Roman" w:cs="Times New Roman"/>
      <w:sz w:val="24"/>
      <w:szCs w:val="24"/>
      <w:lang w:val="fr-FR"/>
    </w:rPr>
  </w:style>
  <w:style w:type="character" w:customStyle="1" w:styleId="NoSpacingChar">
    <w:name w:val="No Spacing Char"/>
    <w:link w:val="NoSpacing"/>
    <w:uiPriority w:val="1"/>
    <w:rsid w:val="009A7013"/>
    <w:rPr>
      <w:rFonts w:ascii="Times New Roman" w:eastAsia="MS Mincho" w:hAnsi="Times New Roman" w:cs="Times New Roman"/>
      <w:sz w:val="24"/>
      <w:szCs w:val="24"/>
      <w:lang w:val="fr-FR"/>
    </w:rPr>
  </w:style>
  <w:style w:type="paragraph" w:styleId="Header">
    <w:name w:val="header"/>
    <w:basedOn w:val="Normal"/>
    <w:link w:val="HeaderChar"/>
    <w:uiPriority w:val="99"/>
    <w:unhideWhenUsed/>
    <w:rsid w:val="00C37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FF"/>
    <w:rPr>
      <w:lang w:val="fr-FR"/>
    </w:rPr>
  </w:style>
  <w:style w:type="paragraph" w:styleId="Footer">
    <w:name w:val="footer"/>
    <w:basedOn w:val="Normal"/>
    <w:link w:val="FooterChar"/>
    <w:uiPriority w:val="99"/>
    <w:unhideWhenUsed/>
    <w:rsid w:val="00C37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FF"/>
    <w:rPr>
      <w:lang w:val="fr-FR"/>
    </w:rPr>
  </w:style>
  <w:style w:type="character" w:styleId="Emphasis">
    <w:name w:val="Emphasis"/>
    <w:basedOn w:val="DefaultParagraphFont"/>
    <w:uiPriority w:val="20"/>
    <w:qFormat/>
    <w:rsid w:val="008625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3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16C"/>
    <w:pPr>
      <w:ind w:left="720"/>
      <w:contextualSpacing/>
    </w:pPr>
  </w:style>
  <w:style w:type="paragraph" w:styleId="BlockText">
    <w:name w:val="Block Text"/>
    <w:basedOn w:val="Normal"/>
    <w:uiPriority w:val="31"/>
    <w:unhideWhenUsed/>
    <w:rsid w:val="009A7013"/>
    <w:pPr>
      <w:spacing w:before="360" w:after="360" w:line="312" w:lineRule="auto"/>
    </w:pPr>
    <w:rPr>
      <w:rFonts w:eastAsiaTheme="minorEastAsia"/>
      <w:iCs/>
      <w:color w:val="265898" w:themeColor="text2" w:themeTint="E6"/>
      <w:sz w:val="28"/>
      <w:lang w:eastAsia="ja-JP" w:bidi="fr-FR"/>
    </w:rPr>
  </w:style>
  <w:style w:type="paragraph" w:styleId="BodyText2">
    <w:name w:val="Body Text 2"/>
    <w:basedOn w:val="Normal"/>
    <w:link w:val="BodyText2Char"/>
    <w:uiPriority w:val="99"/>
    <w:semiHidden/>
    <w:unhideWhenUsed/>
    <w:rsid w:val="009A701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A7013"/>
    <w:rPr>
      <w:rFonts w:ascii="Times New Roman" w:eastAsia="Times New Roman" w:hAnsi="Times New Roman" w:cs="Times New Roman"/>
      <w:sz w:val="24"/>
      <w:szCs w:val="24"/>
      <w:lang w:val="fr-FR"/>
    </w:rPr>
  </w:style>
  <w:style w:type="paragraph" w:styleId="NoSpacing">
    <w:name w:val="No Spacing"/>
    <w:link w:val="NoSpacingChar"/>
    <w:uiPriority w:val="1"/>
    <w:qFormat/>
    <w:rsid w:val="009A7013"/>
    <w:pPr>
      <w:spacing w:after="0" w:line="240" w:lineRule="auto"/>
      <w:jc w:val="both"/>
    </w:pPr>
    <w:rPr>
      <w:rFonts w:ascii="Times New Roman" w:eastAsia="MS Mincho" w:hAnsi="Times New Roman" w:cs="Times New Roman"/>
      <w:sz w:val="24"/>
      <w:szCs w:val="24"/>
      <w:lang w:val="fr-FR"/>
    </w:rPr>
  </w:style>
  <w:style w:type="character" w:customStyle="1" w:styleId="NoSpacingChar">
    <w:name w:val="No Spacing Char"/>
    <w:link w:val="NoSpacing"/>
    <w:uiPriority w:val="1"/>
    <w:rsid w:val="009A7013"/>
    <w:rPr>
      <w:rFonts w:ascii="Times New Roman" w:eastAsia="MS Mincho" w:hAnsi="Times New Roman" w:cs="Times New Roman"/>
      <w:sz w:val="24"/>
      <w:szCs w:val="24"/>
      <w:lang w:val="fr-FR"/>
    </w:rPr>
  </w:style>
  <w:style w:type="paragraph" w:styleId="Header">
    <w:name w:val="header"/>
    <w:basedOn w:val="Normal"/>
    <w:link w:val="HeaderChar"/>
    <w:uiPriority w:val="99"/>
    <w:unhideWhenUsed/>
    <w:rsid w:val="00C37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FF"/>
    <w:rPr>
      <w:lang w:val="fr-FR"/>
    </w:rPr>
  </w:style>
  <w:style w:type="paragraph" w:styleId="Footer">
    <w:name w:val="footer"/>
    <w:basedOn w:val="Normal"/>
    <w:link w:val="FooterChar"/>
    <w:uiPriority w:val="99"/>
    <w:unhideWhenUsed/>
    <w:rsid w:val="00C37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FF"/>
    <w:rPr>
      <w:lang w:val="fr-FR"/>
    </w:rPr>
  </w:style>
  <w:style w:type="character" w:styleId="Emphasis">
    <w:name w:val="Emphasis"/>
    <w:basedOn w:val="DefaultParagraphFont"/>
    <w:uiPriority w:val="20"/>
    <w:qFormat/>
    <w:rsid w:val="00862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9833">
      <w:bodyDiv w:val="1"/>
      <w:marLeft w:val="0"/>
      <w:marRight w:val="0"/>
      <w:marTop w:val="0"/>
      <w:marBottom w:val="0"/>
      <w:divBdr>
        <w:top w:val="none" w:sz="0" w:space="0" w:color="auto"/>
        <w:left w:val="none" w:sz="0" w:space="0" w:color="auto"/>
        <w:bottom w:val="none" w:sz="0" w:space="0" w:color="auto"/>
        <w:right w:val="none" w:sz="0" w:space="0" w:color="auto"/>
      </w:divBdr>
    </w:div>
    <w:div w:id="18360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5596-AC4E-452B-A4B4-EA848C6B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Frantz Erilus</dc:creator>
  <cp:lastModifiedBy>UGPADMIN</cp:lastModifiedBy>
  <cp:revision>4</cp:revision>
  <dcterms:created xsi:type="dcterms:W3CDTF">2019-09-23T19:25:00Z</dcterms:created>
  <dcterms:modified xsi:type="dcterms:W3CDTF">2019-09-23T19:37:00Z</dcterms:modified>
</cp:coreProperties>
</file>