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C1" w:rsidRPr="00E56C47" w:rsidRDefault="00252DC1" w:rsidP="003A7E6F">
      <w:pPr>
        <w:spacing w:before="120" w:after="0" w:line="240" w:lineRule="auto"/>
        <w:jc w:val="center"/>
        <w:rPr>
          <w:b/>
          <w:color w:val="000000" w:themeColor="text1"/>
          <w:u w:val="single"/>
        </w:rPr>
      </w:pPr>
      <w:bookmarkStart w:id="0" w:name="_GoBack"/>
      <w:bookmarkEnd w:id="0"/>
    </w:p>
    <w:p w:rsidR="00251F9C" w:rsidRPr="00E56C47" w:rsidRDefault="00251F9C" w:rsidP="003A7E6F">
      <w:pPr>
        <w:autoSpaceDE w:val="0"/>
        <w:autoSpaceDN w:val="0"/>
        <w:adjustRightInd w:val="0"/>
        <w:spacing w:before="120" w:after="0" w:line="240" w:lineRule="auto"/>
        <w:jc w:val="center"/>
        <w:rPr>
          <w:rFonts w:eastAsia="Calibri" w:cs="TimesNewRoman"/>
          <w:b/>
          <w:color w:val="000000" w:themeColor="text1"/>
          <w:u w:val="single"/>
          <w:lang w:eastAsia="en-US"/>
        </w:rPr>
      </w:pPr>
      <w:r w:rsidRPr="00E56C47">
        <w:rPr>
          <w:rFonts w:eastAsia="Calibri" w:cs="TimesNewRoman"/>
          <w:b/>
          <w:color w:val="000000" w:themeColor="text1"/>
          <w:u w:val="single"/>
          <w:lang w:eastAsia="en-US"/>
        </w:rPr>
        <w:t>APPEL A PROPOSITIONS</w:t>
      </w:r>
    </w:p>
    <w:p w:rsidR="003105D8" w:rsidRDefault="00251F9C" w:rsidP="003A7E6F">
      <w:pPr>
        <w:autoSpaceDE w:val="0"/>
        <w:autoSpaceDN w:val="0"/>
        <w:adjustRightInd w:val="0"/>
        <w:spacing w:before="120" w:after="0" w:line="240" w:lineRule="auto"/>
        <w:jc w:val="center"/>
        <w:rPr>
          <w:rFonts w:eastAsia="Calibri" w:cs="TimesNewRoman"/>
          <w:b/>
          <w:color w:val="000000" w:themeColor="text1"/>
          <w:lang w:eastAsia="en-US"/>
        </w:rPr>
      </w:pPr>
      <w:r w:rsidRPr="00E56C47">
        <w:rPr>
          <w:rFonts w:eastAsia="Calibri" w:cs="TimesNewRoman"/>
          <w:b/>
          <w:color w:val="000000" w:themeColor="text1"/>
          <w:lang w:eastAsia="en-US"/>
        </w:rPr>
        <w:t xml:space="preserve">Etude chaines de valeurs : </w:t>
      </w:r>
      <w:r w:rsidR="003105D8" w:rsidRPr="00E56C47">
        <w:rPr>
          <w:rFonts w:eastAsia="Calibri" w:cs="TimesNewRoman"/>
          <w:b/>
          <w:color w:val="000000" w:themeColor="text1"/>
          <w:lang w:eastAsia="en-US"/>
        </w:rPr>
        <w:t>Fruit à pain – Cacao – Ricin – Noix de cajou</w:t>
      </w:r>
    </w:p>
    <w:p w:rsidR="009316B0" w:rsidRPr="00E56C47" w:rsidRDefault="009316B0" w:rsidP="003A7E6F">
      <w:pPr>
        <w:autoSpaceDE w:val="0"/>
        <w:autoSpaceDN w:val="0"/>
        <w:adjustRightInd w:val="0"/>
        <w:spacing w:before="120" w:after="0" w:line="240" w:lineRule="auto"/>
        <w:jc w:val="center"/>
        <w:rPr>
          <w:rFonts w:eastAsia="Calibri" w:cs="TimesNewRoman"/>
          <w:b/>
          <w:color w:val="000000" w:themeColor="text1"/>
          <w:lang w:eastAsia="en-US"/>
        </w:rPr>
      </w:pPr>
    </w:p>
    <w:p w:rsidR="003105D8" w:rsidRPr="00E56C47" w:rsidRDefault="00283676" w:rsidP="003A7E6F">
      <w:pPr>
        <w:shd w:val="clear" w:color="auto" w:fill="D9D9D9" w:themeFill="background1" w:themeFillShade="D9"/>
        <w:spacing w:before="120" w:after="0" w:line="240" w:lineRule="auto"/>
        <w:jc w:val="both"/>
        <w:rPr>
          <w:b/>
          <w:color w:val="000000" w:themeColor="text1"/>
        </w:rPr>
      </w:pPr>
      <w:r w:rsidRPr="00E56C47">
        <w:rPr>
          <w:b/>
          <w:color w:val="000000" w:themeColor="text1"/>
        </w:rPr>
        <w:t xml:space="preserve">1.- </w:t>
      </w:r>
      <w:r w:rsidR="00251F9C" w:rsidRPr="00E56C47">
        <w:rPr>
          <w:b/>
          <w:color w:val="000000" w:themeColor="text1"/>
        </w:rPr>
        <w:t>Introduction</w:t>
      </w:r>
    </w:p>
    <w:p w:rsidR="003105D8" w:rsidRPr="00E56C47" w:rsidRDefault="00F85F95" w:rsidP="003A7E6F">
      <w:pPr>
        <w:spacing w:before="120" w:after="0" w:line="240" w:lineRule="auto"/>
        <w:jc w:val="both"/>
        <w:rPr>
          <w:rFonts w:eastAsia="Times New Roman" w:cs="Times New Roman"/>
          <w:bCs/>
          <w:color w:val="000000" w:themeColor="text1"/>
        </w:rPr>
      </w:pPr>
      <w:r w:rsidRPr="00F85F95">
        <w:rPr>
          <w:rFonts w:eastAsia="Times New Roman" w:cs="Times New Roman"/>
          <w:bCs/>
          <w:color w:val="000000" w:themeColor="text1"/>
        </w:rPr>
        <w:t>En accord avec sa vocation de promouvoir les droits de l'homme (principalement les droits au travail) et suivant sa mission fondatrice d’œuvrer pour la justice sociale en vue d’une paix durable et universelle</w:t>
      </w:r>
      <w:r>
        <w:rPr>
          <w:rFonts w:eastAsia="Times New Roman" w:cs="Times New Roman"/>
          <w:bCs/>
          <w:color w:val="000000" w:themeColor="text1"/>
        </w:rPr>
        <w:t xml:space="preserve">, </w:t>
      </w:r>
      <w:r w:rsidRPr="00F85F95">
        <w:rPr>
          <w:rFonts w:eastAsia="Times New Roman" w:cs="Times New Roman"/>
          <w:bCs/>
          <w:color w:val="000000" w:themeColor="text1"/>
        </w:rPr>
        <w:t>le Bureau</w:t>
      </w:r>
      <w:r>
        <w:rPr>
          <w:rFonts w:eastAsia="Times New Roman" w:cs="Times New Roman"/>
          <w:bCs/>
          <w:color w:val="000000" w:themeColor="text1"/>
        </w:rPr>
        <w:t xml:space="preserve"> de l’Organisation</w:t>
      </w:r>
      <w:r w:rsidRPr="00F85F95">
        <w:rPr>
          <w:rFonts w:eastAsia="Times New Roman" w:cs="Times New Roman"/>
          <w:bCs/>
          <w:color w:val="000000" w:themeColor="text1"/>
        </w:rPr>
        <w:t xml:space="preserve"> International</w:t>
      </w:r>
      <w:r>
        <w:rPr>
          <w:rFonts w:eastAsia="Times New Roman" w:cs="Times New Roman"/>
          <w:bCs/>
          <w:color w:val="000000" w:themeColor="text1"/>
        </w:rPr>
        <w:t>e</w:t>
      </w:r>
      <w:r w:rsidRPr="00F85F95">
        <w:rPr>
          <w:rFonts w:eastAsia="Times New Roman" w:cs="Times New Roman"/>
          <w:bCs/>
          <w:color w:val="000000" w:themeColor="text1"/>
        </w:rPr>
        <w:t xml:space="preserve"> du Travail (</w:t>
      </w:r>
      <w:r>
        <w:rPr>
          <w:rFonts w:eastAsia="Times New Roman" w:cs="Times New Roman"/>
          <w:bCs/>
          <w:color w:val="000000" w:themeColor="text1"/>
        </w:rPr>
        <w:t>OIT</w:t>
      </w:r>
      <w:r w:rsidRPr="00F85F95">
        <w:rPr>
          <w:rFonts w:eastAsia="Times New Roman" w:cs="Times New Roman"/>
          <w:bCs/>
          <w:color w:val="000000" w:themeColor="text1"/>
        </w:rPr>
        <w:t xml:space="preserve">) en Haïti, en accord avec ses mandants tripartites : le gouvernement, les organisations de travailleurs et les organisations d’employeurs - a développé en 2015 le Programme pays de Promotion pour le Travail Décent (PPTD) pour la période 2015-2020 comme cadre d’intervention de </w:t>
      </w:r>
      <w:r>
        <w:rPr>
          <w:rFonts w:eastAsia="Times New Roman" w:cs="Times New Roman"/>
          <w:bCs/>
          <w:color w:val="000000" w:themeColor="text1"/>
        </w:rPr>
        <w:t xml:space="preserve">l’organisation </w:t>
      </w:r>
      <w:r w:rsidRPr="00F85F95">
        <w:rPr>
          <w:rFonts w:eastAsia="Times New Roman" w:cs="Times New Roman"/>
          <w:bCs/>
          <w:color w:val="000000" w:themeColor="text1"/>
        </w:rPr>
        <w:t>en Haïti.</w:t>
      </w:r>
    </w:p>
    <w:p w:rsidR="003105D8" w:rsidRPr="00E56C47" w:rsidRDefault="00F85F95" w:rsidP="003A7E6F">
      <w:pPr>
        <w:spacing w:before="120" w:after="0" w:line="240" w:lineRule="auto"/>
        <w:jc w:val="both"/>
        <w:rPr>
          <w:rFonts w:eastAsia="Times New Roman" w:cs="Times New Roman"/>
          <w:bCs/>
          <w:color w:val="000000" w:themeColor="text1"/>
        </w:rPr>
      </w:pPr>
      <w:r>
        <w:rPr>
          <w:rFonts w:eastAsia="Times New Roman" w:cs="Times New Roman"/>
          <w:bCs/>
          <w:color w:val="000000" w:themeColor="text1"/>
        </w:rPr>
        <w:t xml:space="preserve">Les principales priorités identifiées par les mandants tripartites dans le cadre du PPTD concerne notamment la promotion des normes internationales du travail ainsi que les principes et droits fondamentaux au travail, la création d’opportunités favorisant la création d’emplois et de revenus décents </w:t>
      </w:r>
      <w:r w:rsidR="00CE5DB5">
        <w:rPr>
          <w:rFonts w:eastAsia="Times New Roman" w:cs="Times New Roman"/>
          <w:bCs/>
          <w:color w:val="000000" w:themeColor="text1"/>
        </w:rPr>
        <w:t>pour les femmes et les hommes. Elles sont également liées à la promotion d’un socle de protection sociale universelle et non discriminatoire, et le renforcement du tripartisme et du dialogue social. D</w:t>
      </w:r>
      <w:r w:rsidR="003105D8" w:rsidRPr="00E56C47">
        <w:rPr>
          <w:rFonts w:eastAsia="Times New Roman" w:cs="Times New Roman"/>
          <w:bCs/>
          <w:color w:val="000000" w:themeColor="text1"/>
        </w:rPr>
        <w:t xml:space="preserve">ifférents résultats </w:t>
      </w:r>
      <w:r w:rsidR="00CE5DB5">
        <w:rPr>
          <w:rFonts w:eastAsia="Times New Roman" w:cs="Times New Roman"/>
          <w:bCs/>
          <w:color w:val="000000" w:themeColor="text1"/>
        </w:rPr>
        <w:t xml:space="preserve">à atteindre sont assortis à chacune de ces priorités. Ils concernent la promotion et la ratification des normes internationale du travail, la révision du code du travail, la lutte contre le travail des enfants et le chômage des jeunes, </w:t>
      </w:r>
      <w:r w:rsidR="00871C0D">
        <w:rPr>
          <w:rFonts w:eastAsia="Times New Roman" w:cs="Times New Roman"/>
          <w:bCs/>
          <w:color w:val="000000" w:themeColor="text1"/>
        </w:rPr>
        <w:t xml:space="preserve">la mise en place d’un socle de protection sociale universelle et la systématisation du dialogue social, </w:t>
      </w:r>
      <w:r w:rsidR="000B1A5D">
        <w:rPr>
          <w:rFonts w:eastAsia="Times New Roman" w:cs="Times New Roman"/>
          <w:bCs/>
          <w:color w:val="000000" w:themeColor="text1"/>
        </w:rPr>
        <w:t xml:space="preserve">le renforcement de l’inspection du travail, </w:t>
      </w:r>
      <w:r w:rsidR="00CE5DB5">
        <w:rPr>
          <w:rFonts w:eastAsia="Times New Roman" w:cs="Times New Roman"/>
          <w:bCs/>
          <w:color w:val="000000" w:themeColor="text1"/>
        </w:rPr>
        <w:t>l’élimination de la discrimination liée au VIH, la formalisation du secteur de l’emploi, la mise en œuvre de la politique de formation professionnelle et technique, entre autres.</w:t>
      </w:r>
    </w:p>
    <w:p w:rsidR="00D03193" w:rsidRPr="00E56C47" w:rsidRDefault="00251F9C" w:rsidP="003A7E6F">
      <w:pPr>
        <w:spacing w:before="120" w:after="0" w:line="240" w:lineRule="auto"/>
        <w:jc w:val="both"/>
        <w:rPr>
          <w:rFonts w:eastAsia="Times New Roman" w:cs="Times New Roman"/>
          <w:bCs/>
          <w:color w:val="000000" w:themeColor="text1"/>
        </w:rPr>
      </w:pPr>
      <w:r w:rsidRPr="00E56C47">
        <w:rPr>
          <w:rFonts w:eastAsia="Times New Roman" w:cs="Times New Roman"/>
          <w:bCs/>
          <w:color w:val="000000" w:themeColor="text1"/>
        </w:rPr>
        <w:lastRenderedPageBreak/>
        <w:t xml:space="preserve">Pour atteindre ces </w:t>
      </w:r>
      <w:r w:rsidR="00E32153">
        <w:rPr>
          <w:rFonts w:eastAsia="Times New Roman" w:cs="Times New Roman"/>
          <w:bCs/>
          <w:color w:val="000000" w:themeColor="text1"/>
        </w:rPr>
        <w:t>résultats</w:t>
      </w:r>
      <w:r w:rsidRPr="00E56C47">
        <w:rPr>
          <w:rFonts w:eastAsia="Times New Roman" w:cs="Times New Roman"/>
          <w:bCs/>
          <w:color w:val="000000" w:themeColor="text1"/>
        </w:rPr>
        <w:t xml:space="preserve">, divers projets sont mis en œuvre dont </w:t>
      </w:r>
      <w:r w:rsidR="00E32153">
        <w:rPr>
          <w:rFonts w:eastAsia="Times New Roman" w:cs="Times New Roman"/>
          <w:bCs/>
          <w:color w:val="000000" w:themeColor="text1"/>
        </w:rPr>
        <w:t>celui intitulé « </w:t>
      </w:r>
      <w:r w:rsidRPr="002F2A2B">
        <w:rPr>
          <w:rFonts w:eastAsia="Times New Roman" w:cs="Times New Roman"/>
          <w:bCs/>
          <w:i/>
          <w:color w:val="000000" w:themeColor="text1"/>
        </w:rPr>
        <w:t xml:space="preserve">Relèvement des lacunes en matière d'éducation et de compétences chez les jeunes vulnérables en Haïti par la promotion du développement socioéconomique rural dans les départements du </w:t>
      </w:r>
      <w:r w:rsidR="00E32153" w:rsidRPr="002F2A2B">
        <w:rPr>
          <w:rFonts w:eastAsia="Times New Roman" w:cs="Times New Roman"/>
          <w:bCs/>
          <w:i/>
          <w:color w:val="000000" w:themeColor="text1"/>
        </w:rPr>
        <w:t>S</w:t>
      </w:r>
      <w:r w:rsidRPr="002F2A2B">
        <w:rPr>
          <w:rFonts w:eastAsia="Times New Roman" w:cs="Times New Roman"/>
          <w:bCs/>
          <w:i/>
          <w:color w:val="000000" w:themeColor="text1"/>
        </w:rPr>
        <w:t>ud et de la Grande Anse</w:t>
      </w:r>
      <w:r w:rsidR="00E32153">
        <w:rPr>
          <w:rFonts w:eastAsia="Times New Roman" w:cs="Times New Roman"/>
          <w:bCs/>
          <w:color w:val="000000" w:themeColor="text1"/>
        </w:rPr>
        <w:t> »</w:t>
      </w:r>
      <w:r w:rsidRPr="00E56C47">
        <w:rPr>
          <w:rFonts w:eastAsia="Times New Roman" w:cs="Times New Roman"/>
          <w:bCs/>
          <w:color w:val="000000" w:themeColor="text1"/>
        </w:rPr>
        <w:t xml:space="preserve"> connu actuellement sous le </w:t>
      </w:r>
      <w:r w:rsidR="00E32153">
        <w:rPr>
          <w:rFonts w:eastAsia="Times New Roman" w:cs="Times New Roman"/>
          <w:bCs/>
          <w:color w:val="000000" w:themeColor="text1"/>
        </w:rPr>
        <w:t xml:space="preserve">vocable </w:t>
      </w:r>
      <w:r w:rsidRPr="002F2A2B">
        <w:rPr>
          <w:rFonts w:eastAsia="Times New Roman" w:cs="Times New Roman"/>
          <w:bCs/>
          <w:i/>
          <w:color w:val="000000" w:themeColor="text1"/>
        </w:rPr>
        <w:t>FOPRODER</w:t>
      </w:r>
      <w:r w:rsidR="00E32153" w:rsidRPr="002F2A2B">
        <w:rPr>
          <w:rFonts w:eastAsia="Times New Roman" w:cs="Times New Roman"/>
          <w:bCs/>
          <w:i/>
          <w:color w:val="000000" w:themeColor="text1"/>
        </w:rPr>
        <w:t xml:space="preserve"> : </w:t>
      </w:r>
      <w:r w:rsidRPr="002F2A2B">
        <w:rPr>
          <w:rFonts w:eastAsia="Times New Roman" w:cs="Times New Roman"/>
          <w:bCs/>
          <w:i/>
          <w:color w:val="000000" w:themeColor="text1"/>
        </w:rPr>
        <w:t>Formation Professionnelle pour le Développement Rural</w:t>
      </w:r>
      <w:r w:rsidR="00E32153">
        <w:rPr>
          <w:rFonts w:eastAsia="Times New Roman" w:cs="Times New Roman"/>
          <w:bCs/>
          <w:color w:val="000000" w:themeColor="text1"/>
        </w:rPr>
        <w:t xml:space="preserve">, </w:t>
      </w:r>
      <w:r w:rsidR="00B61FDE" w:rsidRPr="00E56C47">
        <w:rPr>
          <w:rFonts w:eastAsia="Times New Roman" w:cs="Times New Roman"/>
          <w:bCs/>
          <w:color w:val="000000" w:themeColor="text1"/>
        </w:rPr>
        <w:t xml:space="preserve">financé par le </w:t>
      </w:r>
      <w:r w:rsidR="00E32153">
        <w:rPr>
          <w:rFonts w:eastAsia="Times New Roman" w:cs="Times New Roman"/>
          <w:bCs/>
          <w:color w:val="000000" w:themeColor="text1"/>
        </w:rPr>
        <w:t xml:space="preserve">Royaume </w:t>
      </w:r>
      <w:r w:rsidR="00B61FDE" w:rsidRPr="00E56C47">
        <w:rPr>
          <w:rFonts w:eastAsia="Times New Roman" w:cs="Times New Roman"/>
          <w:bCs/>
          <w:color w:val="000000" w:themeColor="text1"/>
        </w:rPr>
        <w:t>de la Norvège</w:t>
      </w:r>
      <w:r w:rsidR="00E32153">
        <w:rPr>
          <w:rFonts w:eastAsia="Times New Roman" w:cs="Times New Roman"/>
          <w:bCs/>
          <w:color w:val="000000" w:themeColor="text1"/>
        </w:rPr>
        <w:t xml:space="preserve">. L’objectif de ce projet est </w:t>
      </w:r>
      <w:r w:rsidRPr="00E56C47">
        <w:rPr>
          <w:rFonts w:eastAsia="Times New Roman" w:cs="Times New Roman"/>
          <w:bCs/>
          <w:color w:val="000000" w:themeColor="text1"/>
        </w:rPr>
        <w:t>de contribuer à l’amélioration des conditions de vie par le développement ou le renforcement des compétences et des entreprises.</w:t>
      </w:r>
      <w:r w:rsidR="00D03193" w:rsidRPr="00E56C47">
        <w:rPr>
          <w:rFonts w:eastAsia="Times New Roman" w:cs="Times New Roman"/>
          <w:bCs/>
          <w:color w:val="000000" w:themeColor="text1"/>
        </w:rPr>
        <w:t xml:space="preserve"> </w:t>
      </w:r>
      <w:r w:rsidR="00B61FDE" w:rsidRPr="00E56C47">
        <w:rPr>
          <w:color w:val="000000" w:themeColor="text1"/>
        </w:rPr>
        <w:t xml:space="preserve">Il est </w:t>
      </w:r>
      <w:r w:rsidR="00E32153">
        <w:rPr>
          <w:rFonts w:eastAsia="Times New Roman" w:cs="Times New Roman"/>
          <w:bCs/>
          <w:color w:val="000000" w:themeColor="text1"/>
        </w:rPr>
        <w:t xml:space="preserve">mis en œuvre </w:t>
      </w:r>
      <w:r w:rsidR="00B61FDE" w:rsidRPr="00E56C47">
        <w:rPr>
          <w:rFonts w:eastAsia="Times New Roman" w:cs="Times New Roman"/>
          <w:bCs/>
          <w:color w:val="000000" w:themeColor="text1"/>
        </w:rPr>
        <w:t xml:space="preserve">depuis octobre 2016 en collaboration avec l'Institut National de Formation professionnelle (INFP) </w:t>
      </w:r>
      <w:r w:rsidR="00E32153">
        <w:rPr>
          <w:rFonts w:eastAsia="Times New Roman" w:cs="Times New Roman"/>
          <w:bCs/>
          <w:color w:val="000000" w:themeColor="text1"/>
        </w:rPr>
        <w:t>et</w:t>
      </w:r>
      <w:r w:rsidR="00B61FDE" w:rsidRPr="00E56C47">
        <w:rPr>
          <w:rFonts w:eastAsia="Times New Roman" w:cs="Times New Roman"/>
          <w:bCs/>
          <w:color w:val="000000" w:themeColor="text1"/>
        </w:rPr>
        <w:t xml:space="preserve"> le Conseil National des Coopératives en Haïti, chacun en ce qui leur concerne.</w:t>
      </w:r>
      <w:r w:rsidR="00363911" w:rsidRPr="00E56C47">
        <w:rPr>
          <w:rFonts w:eastAsia="Times New Roman" w:cs="Times New Roman"/>
          <w:bCs/>
          <w:color w:val="000000" w:themeColor="text1"/>
        </w:rPr>
        <w:t xml:space="preserve"> </w:t>
      </w:r>
      <w:r w:rsidR="00B61FDE" w:rsidRPr="00E56C47">
        <w:rPr>
          <w:rFonts w:eastAsia="Times New Roman" w:cs="Times New Roman"/>
          <w:bCs/>
          <w:color w:val="000000" w:themeColor="text1"/>
        </w:rPr>
        <w:t>S</w:t>
      </w:r>
      <w:r w:rsidR="00D03193" w:rsidRPr="00E56C47">
        <w:rPr>
          <w:rFonts w:eastAsia="Times New Roman" w:cs="Times New Roman"/>
          <w:bCs/>
          <w:color w:val="000000" w:themeColor="text1"/>
        </w:rPr>
        <w:t xml:space="preserve">a mise en œuvre doit concourir à des résultats </w:t>
      </w:r>
      <w:r w:rsidR="00E32153">
        <w:rPr>
          <w:rFonts w:eastAsia="Times New Roman" w:cs="Times New Roman"/>
          <w:bCs/>
          <w:color w:val="000000" w:themeColor="text1"/>
        </w:rPr>
        <w:t>2.1, 2.2, 2.3 et 2.4 du PPTD</w:t>
      </w:r>
      <w:r w:rsidR="00363911" w:rsidRPr="00E56C47">
        <w:rPr>
          <w:rFonts w:eastAsia="Times New Roman" w:cs="Times New Roman"/>
          <w:bCs/>
          <w:color w:val="000000" w:themeColor="text1"/>
        </w:rPr>
        <w:t>.</w:t>
      </w:r>
    </w:p>
    <w:p w:rsidR="00890F87" w:rsidRPr="00E56C47" w:rsidRDefault="00890F87" w:rsidP="003A7E6F">
      <w:pPr>
        <w:spacing w:before="120" w:after="0" w:line="240" w:lineRule="auto"/>
        <w:jc w:val="both"/>
        <w:rPr>
          <w:color w:val="000000" w:themeColor="text1"/>
        </w:rPr>
      </w:pPr>
      <w:r w:rsidRPr="00E56C47">
        <w:rPr>
          <w:color w:val="000000" w:themeColor="text1"/>
        </w:rPr>
        <w:t>Entre autres, il doit encourager la coordination entre les centres de formation technique et les secteurs productifs et apporter une amélioration des programmes de formation et d'apprentissage sur le lieu de travail, capable de créer de nouvelles opportunités d'emploi pour les jeunes  au niveau des coopératives et associations d'agriculteurs et de pêcheurs. Ce processus doit aboutir à renforcer la capacité de ces dernières à s’insérer dans les chaînes de valeur et ainsi améliorer le revenu de leurs membres.</w:t>
      </w:r>
    </w:p>
    <w:p w:rsidR="00F20811" w:rsidRPr="00E56C47" w:rsidRDefault="00E32153" w:rsidP="003A7E6F">
      <w:pPr>
        <w:spacing w:before="120" w:after="0" w:line="240" w:lineRule="auto"/>
        <w:jc w:val="both"/>
        <w:rPr>
          <w:color w:val="000000" w:themeColor="text1"/>
        </w:rPr>
      </w:pPr>
      <w:r>
        <w:rPr>
          <w:color w:val="000000" w:themeColor="text1"/>
        </w:rPr>
        <w:t>Ainsi</w:t>
      </w:r>
      <w:r w:rsidR="00283676" w:rsidRPr="00E56C47">
        <w:rPr>
          <w:color w:val="000000" w:themeColor="text1"/>
        </w:rPr>
        <w:t xml:space="preserve"> l'OIT</w:t>
      </w:r>
      <w:r>
        <w:rPr>
          <w:color w:val="000000" w:themeColor="text1"/>
        </w:rPr>
        <w:t>, à travers</w:t>
      </w:r>
      <w:r w:rsidR="00283676" w:rsidRPr="00E56C47">
        <w:rPr>
          <w:color w:val="000000" w:themeColor="text1"/>
        </w:rPr>
        <w:t xml:space="preserve"> FOPRODER</w:t>
      </w:r>
      <w:r>
        <w:rPr>
          <w:color w:val="000000" w:themeColor="text1"/>
        </w:rPr>
        <w:t>,</w:t>
      </w:r>
      <w:r w:rsidR="00283676" w:rsidRPr="00E56C47">
        <w:rPr>
          <w:color w:val="000000" w:themeColor="text1"/>
        </w:rPr>
        <w:t xml:space="preserve"> entend</w:t>
      </w:r>
      <w:r>
        <w:rPr>
          <w:color w:val="000000" w:themeColor="text1"/>
        </w:rPr>
        <w:t>-il</w:t>
      </w:r>
      <w:r w:rsidR="00283676" w:rsidRPr="00E56C47">
        <w:rPr>
          <w:color w:val="000000" w:themeColor="text1"/>
        </w:rPr>
        <w:t xml:space="preserve"> promouvoir des activités économiques susceptibles de générer de la valeur ajoutée et</w:t>
      </w:r>
      <w:r>
        <w:rPr>
          <w:color w:val="000000" w:themeColor="text1"/>
        </w:rPr>
        <w:t>,</w:t>
      </w:r>
      <w:r w:rsidR="00283676" w:rsidRPr="00E56C47">
        <w:rPr>
          <w:color w:val="000000" w:themeColor="text1"/>
        </w:rPr>
        <w:t xml:space="preserve"> du même coup, contribuer à l’amélioration des avantages concurrentiels aux acteurs agricoles ou de la pêche et renforcer leur capacité technique.  En ce sens et depuis 2017, une analyse de la chaîne de valeur de la mangue dans le Sud a été effectuée et un système de traçabilité fut mis en place.</w:t>
      </w:r>
    </w:p>
    <w:p w:rsidR="00F20811" w:rsidRDefault="00F20811" w:rsidP="003A7E6F">
      <w:pPr>
        <w:pStyle w:val="Default"/>
        <w:spacing w:before="120"/>
        <w:jc w:val="both"/>
        <w:rPr>
          <w:rFonts w:asciiTheme="minorHAnsi" w:hAnsiTheme="minorHAnsi" w:cstheme="minorBidi"/>
          <w:color w:val="000000" w:themeColor="text1"/>
          <w:sz w:val="22"/>
          <w:szCs w:val="22"/>
          <w:lang w:val="fr-FR"/>
        </w:rPr>
      </w:pPr>
      <w:r w:rsidRPr="00E56C47">
        <w:rPr>
          <w:rFonts w:asciiTheme="minorHAnsi" w:hAnsiTheme="minorHAnsi" w:cstheme="minorBidi"/>
          <w:color w:val="000000" w:themeColor="text1"/>
          <w:sz w:val="22"/>
          <w:szCs w:val="22"/>
          <w:lang w:val="fr-FR"/>
        </w:rPr>
        <w:t>Sur la base des résultats obtenus dans la filière mangue et dans le but de poursuivre sa contribu</w:t>
      </w:r>
      <w:r w:rsidR="00E32153">
        <w:rPr>
          <w:rFonts w:asciiTheme="minorHAnsi" w:hAnsiTheme="minorHAnsi" w:cstheme="minorBidi"/>
          <w:color w:val="000000" w:themeColor="text1"/>
          <w:sz w:val="22"/>
          <w:szCs w:val="22"/>
          <w:lang w:val="fr-FR"/>
        </w:rPr>
        <w:t>tion au développement des deux D</w:t>
      </w:r>
      <w:r w:rsidRPr="00E56C47">
        <w:rPr>
          <w:rFonts w:asciiTheme="minorHAnsi" w:hAnsiTheme="minorHAnsi" w:cstheme="minorBidi"/>
          <w:color w:val="000000" w:themeColor="text1"/>
          <w:sz w:val="22"/>
          <w:szCs w:val="22"/>
          <w:lang w:val="fr-FR"/>
        </w:rPr>
        <w:t xml:space="preserve">épartements, </w:t>
      </w:r>
      <w:r w:rsidR="002F2A2B">
        <w:rPr>
          <w:rFonts w:asciiTheme="minorHAnsi" w:hAnsiTheme="minorHAnsi" w:cstheme="minorBidi"/>
          <w:color w:val="000000" w:themeColor="text1"/>
          <w:sz w:val="22"/>
          <w:szCs w:val="22"/>
          <w:lang w:val="fr-FR"/>
        </w:rPr>
        <w:t>l’Organisation</w:t>
      </w:r>
      <w:r w:rsidR="00283676" w:rsidRPr="00E56C47">
        <w:rPr>
          <w:rFonts w:asciiTheme="minorHAnsi" w:hAnsiTheme="minorHAnsi" w:cstheme="minorBidi"/>
          <w:color w:val="000000" w:themeColor="text1"/>
          <w:sz w:val="22"/>
          <w:szCs w:val="22"/>
          <w:lang w:val="fr-FR"/>
        </w:rPr>
        <w:t xml:space="preserve"> </w:t>
      </w:r>
      <w:r w:rsidRPr="00E56C47">
        <w:rPr>
          <w:rFonts w:asciiTheme="minorHAnsi" w:hAnsiTheme="minorHAnsi" w:cstheme="minorBidi"/>
          <w:color w:val="000000" w:themeColor="text1"/>
          <w:sz w:val="22"/>
          <w:szCs w:val="22"/>
          <w:lang w:val="fr-FR"/>
        </w:rPr>
        <w:t xml:space="preserve">se propose de réaliser une étude sur </w:t>
      </w:r>
      <w:r w:rsidR="00283676" w:rsidRPr="00E56C47">
        <w:rPr>
          <w:rFonts w:asciiTheme="minorHAnsi" w:hAnsiTheme="minorHAnsi" w:cstheme="minorBidi"/>
          <w:color w:val="000000" w:themeColor="text1"/>
          <w:sz w:val="22"/>
          <w:szCs w:val="22"/>
          <w:lang w:val="fr-FR"/>
        </w:rPr>
        <w:t xml:space="preserve"> quatre (4) autres </w:t>
      </w:r>
      <w:r w:rsidRPr="00E56C47">
        <w:rPr>
          <w:rFonts w:asciiTheme="minorHAnsi" w:hAnsiTheme="minorHAnsi" w:cstheme="minorBidi"/>
          <w:color w:val="000000" w:themeColor="text1"/>
          <w:sz w:val="22"/>
          <w:szCs w:val="22"/>
          <w:lang w:val="fr-FR"/>
        </w:rPr>
        <w:t>chaines de valeur</w:t>
      </w:r>
      <w:r w:rsidR="00BA688C">
        <w:rPr>
          <w:rFonts w:asciiTheme="minorHAnsi" w:hAnsiTheme="minorHAnsi" w:cstheme="minorBidi"/>
          <w:color w:val="000000" w:themeColor="text1"/>
          <w:sz w:val="22"/>
          <w:szCs w:val="22"/>
          <w:lang w:val="fr-FR"/>
        </w:rPr>
        <w:t xml:space="preserve"> (CdV)</w:t>
      </w:r>
      <w:r w:rsidRPr="00E56C47">
        <w:rPr>
          <w:rFonts w:asciiTheme="minorHAnsi" w:hAnsiTheme="minorHAnsi" w:cstheme="minorBidi"/>
          <w:color w:val="000000" w:themeColor="text1"/>
          <w:sz w:val="22"/>
          <w:szCs w:val="22"/>
          <w:lang w:val="fr-FR"/>
        </w:rPr>
        <w:t xml:space="preserve"> </w:t>
      </w:r>
      <w:r w:rsidR="00283676" w:rsidRPr="00E56C47">
        <w:rPr>
          <w:rFonts w:asciiTheme="minorHAnsi" w:hAnsiTheme="minorHAnsi" w:cstheme="minorBidi"/>
          <w:color w:val="000000" w:themeColor="text1"/>
          <w:sz w:val="22"/>
          <w:szCs w:val="22"/>
          <w:lang w:val="fr-FR"/>
        </w:rPr>
        <w:t>potentielles que s</w:t>
      </w:r>
      <w:r w:rsidRPr="00E56C47">
        <w:rPr>
          <w:rFonts w:asciiTheme="minorHAnsi" w:hAnsiTheme="minorHAnsi" w:cstheme="minorBidi"/>
          <w:color w:val="000000" w:themeColor="text1"/>
          <w:sz w:val="22"/>
          <w:szCs w:val="22"/>
          <w:lang w:val="fr-FR"/>
        </w:rPr>
        <w:t>ont</w:t>
      </w:r>
      <w:r w:rsidR="00283676" w:rsidRPr="00E56C47">
        <w:rPr>
          <w:rFonts w:asciiTheme="minorHAnsi" w:hAnsiTheme="minorHAnsi" w:cstheme="minorBidi"/>
          <w:color w:val="000000" w:themeColor="text1"/>
          <w:sz w:val="22"/>
          <w:szCs w:val="22"/>
          <w:lang w:val="fr-FR"/>
        </w:rPr>
        <w:t> :</w:t>
      </w:r>
      <w:r w:rsidRPr="00E56C47">
        <w:rPr>
          <w:rFonts w:asciiTheme="minorHAnsi" w:hAnsiTheme="minorHAnsi" w:cstheme="minorBidi"/>
          <w:color w:val="000000" w:themeColor="text1"/>
          <w:sz w:val="22"/>
          <w:szCs w:val="22"/>
          <w:lang w:val="fr-FR"/>
        </w:rPr>
        <w:t xml:space="preserve"> </w:t>
      </w:r>
      <w:r w:rsidR="00283676" w:rsidRPr="00E56C47">
        <w:rPr>
          <w:rFonts w:asciiTheme="minorHAnsi" w:hAnsiTheme="minorHAnsi" w:cstheme="minorBidi"/>
          <w:color w:val="000000" w:themeColor="text1"/>
          <w:sz w:val="22"/>
          <w:szCs w:val="22"/>
          <w:lang w:val="fr-FR"/>
        </w:rPr>
        <w:t xml:space="preserve">le </w:t>
      </w:r>
      <w:r w:rsidR="00283676" w:rsidRPr="00E56C47">
        <w:rPr>
          <w:rFonts w:asciiTheme="minorHAnsi" w:hAnsiTheme="minorHAnsi" w:cstheme="minorBidi"/>
          <w:b/>
          <w:color w:val="000000" w:themeColor="text1"/>
          <w:sz w:val="22"/>
          <w:szCs w:val="22"/>
          <w:lang w:val="fr-FR"/>
        </w:rPr>
        <w:t>cacao,</w:t>
      </w:r>
      <w:r w:rsidR="00283676" w:rsidRPr="00E56C47">
        <w:rPr>
          <w:rFonts w:asciiTheme="minorHAnsi" w:hAnsiTheme="minorHAnsi" w:cstheme="minorBidi"/>
          <w:color w:val="000000" w:themeColor="text1"/>
          <w:sz w:val="22"/>
          <w:szCs w:val="22"/>
          <w:lang w:val="fr-FR"/>
        </w:rPr>
        <w:t xml:space="preserve"> le </w:t>
      </w:r>
      <w:r w:rsidR="00283676" w:rsidRPr="00E56C47">
        <w:rPr>
          <w:rFonts w:asciiTheme="minorHAnsi" w:hAnsiTheme="minorHAnsi" w:cstheme="minorBidi"/>
          <w:b/>
          <w:color w:val="000000" w:themeColor="text1"/>
          <w:sz w:val="22"/>
          <w:szCs w:val="22"/>
          <w:lang w:val="fr-FR"/>
        </w:rPr>
        <w:t>fruit à pain,</w:t>
      </w:r>
      <w:r w:rsidR="00283676" w:rsidRPr="00E56C47">
        <w:rPr>
          <w:rFonts w:asciiTheme="minorHAnsi" w:hAnsiTheme="minorHAnsi" w:cstheme="minorBidi"/>
          <w:color w:val="000000" w:themeColor="text1"/>
          <w:sz w:val="22"/>
          <w:szCs w:val="22"/>
          <w:lang w:val="fr-FR"/>
        </w:rPr>
        <w:t xml:space="preserve"> </w:t>
      </w:r>
      <w:r w:rsidRPr="00E56C47">
        <w:rPr>
          <w:rFonts w:asciiTheme="minorHAnsi" w:hAnsiTheme="minorHAnsi" w:cstheme="minorBidi"/>
          <w:color w:val="000000" w:themeColor="text1"/>
          <w:sz w:val="22"/>
          <w:szCs w:val="22"/>
          <w:lang w:val="fr-FR"/>
        </w:rPr>
        <w:t xml:space="preserve">la </w:t>
      </w:r>
      <w:r w:rsidRPr="00E56C47">
        <w:rPr>
          <w:rFonts w:asciiTheme="minorHAnsi" w:hAnsiTheme="minorHAnsi" w:cstheme="minorBidi"/>
          <w:b/>
          <w:color w:val="000000" w:themeColor="text1"/>
          <w:sz w:val="22"/>
          <w:szCs w:val="22"/>
          <w:lang w:val="fr-FR"/>
        </w:rPr>
        <w:t xml:space="preserve">noix de </w:t>
      </w:r>
      <w:r w:rsidR="00283676" w:rsidRPr="00E56C47">
        <w:rPr>
          <w:rFonts w:asciiTheme="minorHAnsi" w:hAnsiTheme="minorHAnsi" w:cstheme="minorBidi"/>
          <w:b/>
          <w:color w:val="000000" w:themeColor="text1"/>
          <w:sz w:val="22"/>
          <w:szCs w:val="22"/>
          <w:lang w:val="fr-FR"/>
        </w:rPr>
        <w:t>cajou</w:t>
      </w:r>
      <w:r w:rsidR="00283676" w:rsidRPr="00E56C47">
        <w:rPr>
          <w:rFonts w:asciiTheme="minorHAnsi" w:hAnsiTheme="minorHAnsi" w:cstheme="minorBidi"/>
          <w:color w:val="000000" w:themeColor="text1"/>
          <w:sz w:val="22"/>
          <w:szCs w:val="22"/>
          <w:lang w:val="fr-FR"/>
        </w:rPr>
        <w:t>,</w:t>
      </w:r>
      <w:r w:rsidRPr="00E56C47">
        <w:rPr>
          <w:rFonts w:asciiTheme="minorHAnsi" w:hAnsiTheme="minorHAnsi" w:cstheme="minorBidi"/>
          <w:color w:val="000000" w:themeColor="text1"/>
          <w:sz w:val="22"/>
          <w:szCs w:val="22"/>
          <w:lang w:val="fr-FR"/>
        </w:rPr>
        <w:t xml:space="preserve"> et le </w:t>
      </w:r>
      <w:r w:rsidRPr="00E56C47">
        <w:rPr>
          <w:rFonts w:asciiTheme="minorHAnsi" w:hAnsiTheme="minorHAnsi" w:cstheme="minorBidi"/>
          <w:b/>
          <w:color w:val="000000" w:themeColor="text1"/>
          <w:sz w:val="22"/>
          <w:szCs w:val="22"/>
          <w:lang w:val="fr-FR"/>
        </w:rPr>
        <w:t>ricin</w:t>
      </w:r>
      <w:r w:rsidRPr="00E56C47">
        <w:rPr>
          <w:rFonts w:asciiTheme="minorHAnsi" w:hAnsiTheme="minorHAnsi" w:cstheme="minorBidi"/>
          <w:color w:val="000000" w:themeColor="text1"/>
          <w:sz w:val="22"/>
          <w:szCs w:val="22"/>
          <w:lang w:val="fr-FR"/>
        </w:rPr>
        <w:t>.</w:t>
      </w:r>
    </w:p>
    <w:p w:rsidR="002F2A2B" w:rsidRDefault="002F2A2B" w:rsidP="003A7E6F">
      <w:pPr>
        <w:pStyle w:val="Default"/>
        <w:spacing w:before="120"/>
        <w:jc w:val="both"/>
        <w:rPr>
          <w:rFonts w:asciiTheme="minorHAnsi" w:hAnsiTheme="minorHAnsi" w:cstheme="minorBidi"/>
          <w:color w:val="000000" w:themeColor="text1"/>
          <w:sz w:val="22"/>
          <w:szCs w:val="22"/>
          <w:lang w:val="fr-FR"/>
        </w:rPr>
      </w:pPr>
    </w:p>
    <w:p w:rsidR="002C2781" w:rsidRPr="00E56C47" w:rsidRDefault="002C2781" w:rsidP="003A7E6F">
      <w:pPr>
        <w:pStyle w:val="Default"/>
        <w:spacing w:before="120"/>
        <w:jc w:val="both"/>
        <w:rPr>
          <w:rFonts w:asciiTheme="minorHAnsi" w:hAnsiTheme="minorHAnsi" w:cstheme="minorBidi"/>
          <w:color w:val="000000" w:themeColor="text1"/>
          <w:sz w:val="22"/>
          <w:szCs w:val="22"/>
          <w:lang w:val="fr-FR"/>
        </w:rPr>
      </w:pPr>
    </w:p>
    <w:p w:rsidR="001C67AB" w:rsidRPr="00E56C47" w:rsidRDefault="001C67AB" w:rsidP="003A7E6F">
      <w:pPr>
        <w:shd w:val="clear" w:color="auto" w:fill="D9D9D9" w:themeFill="background1" w:themeFillShade="D9"/>
        <w:spacing w:before="120" w:after="0" w:line="240" w:lineRule="auto"/>
        <w:jc w:val="both"/>
        <w:rPr>
          <w:b/>
          <w:color w:val="000000" w:themeColor="text1"/>
        </w:rPr>
      </w:pPr>
      <w:r w:rsidRPr="00E56C47">
        <w:rPr>
          <w:b/>
          <w:color w:val="000000" w:themeColor="text1"/>
        </w:rPr>
        <w:t xml:space="preserve">2.- </w:t>
      </w:r>
      <w:r w:rsidR="00363911" w:rsidRPr="00E56C47">
        <w:rPr>
          <w:b/>
          <w:color w:val="000000" w:themeColor="text1"/>
        </w:rPr>
        <w:t>Réalisation de l’étude</w:t>
      </w:r>
    </w:p>
    <w:p w:rsidR="001C67AB" w:rsidRPr="00E56C47" w:rsidRDefault="001C67AB" w:rsidP="003A7E6F">
      <w:pPr>
        <w:pStyle w:val="Heading2"/>
      </w:pPr>
      <w:r w:rsidRPr="00E56C47">
        <w:t>Le cacao</w:t>
      </w:r>
    </w:p>
    <w:p w:rsidR="001C67AB" w:rsidRPr="00E56C47" w:rsidRDefault="001C67AB" w:rsidP="003A7E6F">
      <w:pPr>
        <w:autoSpaceDE w:val="0"/>
        <w:autoSpaceDN w:val="0"/>
        <w:adjustRightInd w:val="0"/>
        <w:spacing w:before="120" w:after="0" w:line="240" w:lineRule="auto"/>
        <w:jc w:val="both"/>
        <w:rPr>
          <w:rFonts w:cs="TradeGothicLT"/>
          <w:color w:val="000000" w:themeColor="text1"/>
        </w:rPr>
      </w:pPr>
      <w:r w:rsidRPr="00E56C47">
        <w:rPr>
          <w:rFonts w:cs="TradeGothicLT"/>
          <w:color w:val="000000" w:themeColor="text1"/>
        </w:rPr>
        <w:t>Pour le M</w:t>
      </w:r>
      <w:r w:rsidR="00CB1330">
        <w:rPr>
          <w:rFonts w:cs="TradeGothicLT"/>
          <w:color w:val="000000" w:themeColor="text1"/>
        </w:rPr>
        <w:t>inistère de l’</w:t>
      </w:r>
      <w:r w:rsidRPr="00E56C47">
        <w:rPr>
          <w:rFonts w:cs="TradeGothicLT"/>
          <w:color w:val="000000" w:themeColor="text1"/>
        </w:rPr>
        <w:t>A</w:t>
      </w:r>
      <w:r w:rsidR="00CB1330">
        <w:rPr>
          <w:rFonts w:cs="TradeGothicLT"/>
          <w:color w:val="000000" w:themeColor="text1"/>
        </w:rPr>
        <w:t xml:space="preserve">griculture, des </w:t>
      </w:r>
      <w:r w:rsidRPr="00E56C47">
        <w:rPr>
          <w:rFonts w:cs="TradeGothicLT"/>
          <w:color w:val="000000" w:themeColor="text1"/>
        </w:rPr>
        <w:t>R</w:t>
      </w:r>
      <w:r w:rsidR="00CB1330">
        <w:rPr>
          <w:rFonts w:cs="TradeGothicLT"/>
          <w:color w:val="000000" w:themeColor="text1"/>
        </w:rPr>
        <w:t xml:space="preserve">essources </w:t>
      </w:r>
      <w:r w:rsidRPr="00E56C47">
        <w:rPr>
          <w:rFonts w:cs="TradeGothicLT"/>
          <w:color w:val="000000" w:themeColor="text1"/>
        </w:rPr>
        <w:t>N</w:t>
      </w:r>
      <w:r w:rsidR="00CB1330">
        <w:rPr>
          <w:rFonts w:cs="TradeGothicLT"/>
          <w:color w:val="000000" w:themeColor="text1"/>
        </w:rPr>
        <w:t xml:space="preserve">aturelles et du </w:t>
      </w:r>
      <w:r w:rsidRPr="00E56C47">
        <w:rPr>
          <w:rFonts w:cs="TradeGothicLT"/>
          <w:color w:val="000000" w:themeColor="text1"/>
        </w:rPr>
        <w:t>D</w:t>
      </w:r>
      <w:r w:rsidR="00CB1330">
        <w:rPr>
          <w:rFonts w:cs="TradeGothicLT"/>
          <w:color w:val="000000" w:themeColor="text1"/>
        </w:rPr>
        <w:t xml:space="preserve">éveloppement </w:t>
      </w:r>
      <w:r w:rsidRPr="00E56C47">
        <w:rPr>
          <w:rFonts w:cs="TradeGothicLT"/>
          <w:color w:val="000000" w:themeColor="text1"/>
        </w:rPr>
        <w:t>R</w:t>
      </w:r>
      <w:r w:rsidR="00CB1330">
        <w:rPr>
          <w:rFonts w:cs="TradeGothicLT"/>
          <w:color w:val="000000" w:themeColor="text1"/>
        </w:rPr>
        <w:t>ural (MARNDR)</w:t>
      </w:r>
      <w:r w:rsidRPr="00E56C47">
        <w:rPr>
          <w:rFonts w:cs="TradeGothicLT"/>
          <w:color w:val="000000" w:themeColor="text1"/>
        </w:rPr>
        <w:t>, le cacao est considéré comme une culture de boissons et d'épice</w:t>
      </w:r>
      <w:r w:rsidR="00CB1330">
        <w:rPr>
          <w:rFonts w:cs="TradeGothicLT"/>
          <w:color w:val="000000" w:themeColor="text1"/>
        </w:rPr>
        <w:t>s. Au niveau du département du S</w:t>
      </w:r>
      <w:r w:rsidRPr="00E56C47">
        <w:rPr>
          <w:rFonts w:cs="TradeGothicLT"/>
          <w:color w:val="000000" w:themeColor="text1"/>
        </w:rPr>
        <w:t>ud, il n'est exploité que sur 1.185,8 carreaux, soit 1,1% de la superficie totale du territoire occupé. Sur ce total, le cacao ne représente qu'une très petite partie de 1,5% des terres (nominalement 17,78 Cx) avec une surface agricole utilisée totale de 6,8 Cx  soit 10,995 cacaoyers.</w:t>
      </w:r>
      <w:r w:rsidR="007A7DDE" w:rsidRPr="00E56C47">
        <w:rPr>
          <w:rFonts w:cs="TradeGothicLT"/>
          <w:color w:val="000000" w:themeColor="text1"/>
        </w:rPr>
        <w:t xml:space="preserve"> </w:t>
      </w:r>
      <w:r w:rsidRPr="00E56C47">
        <w:rPr>
          <w:rFonts w:cs="TradeGothicLT"/>
          <w:color w:val="000000" w:themeColor="text1"/>
        </w:rPr>
        <w:t xml:space="preserve">Dans le cas de la Grand’Anse, </w:t>
      </w:r>
      <w:r w:rsidRPr="00E56C47">
        <w:rPr>
          <w:color w:val="000000" w:themeColor="text1"/>
        </w:rPr>
        <w:t>les cultures pour boissons et épices (café, cacao, piments, etc.) sont exploitées sur une superficie de 3,200.3 cx, soit 3.7% de la superficie totale des occupations consacrées à ces cultures et le cacao couvre 693.5 cx représentant 21.7% des surfaces plantées pour un total de 269,223 cacaoyers (soit 4.5% de la population arborée)</w:t>
      </w:r>
    </w:p>
    <w:p w:rsidR="001C67AB" w:rsidRPr="00E56C47" w:rsidRDefault="001C67AB" w:rsidP="003A7E6F">
      <w:pPr>
        <w:pStyle w:val="Heading2"/>
      </w:pPr>
      <w:r w:rsidRPr="00E56C47">
        <w:t xml:space="preserve">Le fruit à pain </w:t>
      </w:r>
    </w:p>
    <w:p w:rsidR="001C67AB" w:rsidRPr="00E56C47" w:rsidRDefault="001C67AB" w:rsidP="003A7E6F">
      <w:pPr>
        <w:pStyle w:val="Default"/>
        <w:spacing w:before="120"/>
        <w:jc w:val="both"/>
        <w:rPr>
          <w:rFonts w:asciiTheme="minorHAnsi" w:hAnsiTheme="minorHAnsi"/>
          <w:color w:val="000000" w:themeColor="text1"/>
          <w:sz w:val="22"/>
          <w:szCs w:val="22"/>
          <w:lang w:val="fr-FR"/>
        </w:rPr>
      </w:pPr>
      <w:r w:rsidRPr="00E56C47">
        <w:rPr>
          <w:rFonts w:asciiTheme="minorHAnsi" w:hAnsiTheme="minorHAnsi"/>
          <w:color w:val="000000" w:themeColor="text1"/>
          <w:sz w:val="22"/>
          <w:szCs w:val="22"/>
          <w:lang w:val="fr-FR"/>
        </w:rPr>
        <w:t xml:space="preserve">Suivant le MARNDR, les arbres véritables occuperaient 10.4% de la population végétale du département de la Grande-Anse pour une </w:t>
      </w:r>
      <w:r w:rsidRPr="00E56C47">
        <w:rPr>
          <w:rFonts w:asciiTheme="minorHAnsi" w:hAnsiTheme="minorHAnsi" w:cstheme="minorBidi"/>
          <w:color w:val="000000" w:themeColor="text1"/>
          <w:sz w:val="22"/>
          <w:szCs w:val="22"/>
          <w:lang w:val="fr-FR"/>
        </w:rPr>
        <w:t>superficie agricole utile totale (SAU) de 50.6 carreaux</w:t>
      </w:r>
      <w:r w:rsidRPr="00E56C47">
        <w:rPr>
          <w:rFonts w:asciiTheme="minorHAnsi" w:hAnsiTheme="minorHAnsi"/>
          <w:color w:val="000000" w:themeColor="text1"/>
          <w:sz w:val="22"/>
          <w:szCs w:val="22"/>
          <w:lang w:val="fr-FR"/>
        </w:rPr>
        <w:t xml:space="preserve"> et un n</w:t>
      </w:r>
      <w:r w:rsidRPr="00E56C47">
        <w:rPr>
          <w:rFonts w:asciiTheme="minorHAnsi" w:hAnsiTheme="minorHAnsi" w:cs="Calibri"/>
          <w:b/>
          <w:bCs/>
          <w:color w:val="000000" w:themeColor="text1"/>
          <w:sz w:val="22"/>
          <w:szCs w:val="22"/>
          <w:lang w:val="fr-FR"/>
        </w:rPr>
        <w:t xml:space="preserve">ombre d'arbres élevé à 618,475 dont </w:t>
      </w:r>
      <w:r w:rsidRPr="00E56C47">
        <w:rPr>
          <w:rFonts w:asciiTheme="minorHAnsi" w:hAnsiTheme="minorHAnsi" w:cs="Calibri"/>
          <w:color w:val="000000" w:themeColor="text1"/>
          <w:sz w:val="22"/>
          <w:szCs w:val="22"/>
          <w:lang w:val="fr-FR"/>
        </w:rPr>
        <w:t>606,628 (Soit 98%) seraient en production. P</w:t>
      </w:r>
      <w:r w:rsidRPr="00E56C47">
        <w:rPr>
          <w:rFonts w:asciiTheme="minorHAnsi" w:hAnsiTheme="minorHAnsi"/>
          <w:color w:val="000000" w:themeColor="text1"/>
          <w:sz w:val="22"/>
          <w:szCs w:val="22"/>
          <w:lang w:val="fr-FR"/>
        </w:rPr>
        <w:t>arallèlement, le fruit à pain compterait pour 7.5% de la population végétale du département du Sud</w:t>
      </w:r>
      <w:r w:rsidR="007A7DDE" w:rsidRPr="00E56C47">
        <w:rPr>
          <w:rFonts w:asciiTheme="minorHAnsi" w:hAnsiTheme="minorHAnsi"/>
          <w:color w:val="000000" w:themeColor="text1"/>
          <w:sz w:val="22"/>
          <w:szCs w:val="22"/>
          <w:lang w:val="fr-FR"/>
        </w:rPr>
        <w:t xml:space="preserve"> </w:t>
      </w:r>
      <w:r w:rsidRPr="00E56C47">
        <w:rPr>
          <w:rFonts w:asciiTheme="minorHAnsi" w:hAnsiTheme="minorHAnsi"/>
          <w:color w:val="000000" w:themeColor="text1"/>
          <w:sz w:val="22"/>
          <w:szCs w:val="22"/>
          <w:lang w:val="fr-FR"/>
        </w:rPr>
        <w:t>avec une</w:t>
      </w:r>
      <w:r w:rsidRPr="00E56C47">
        <w:rPr>
          <w:rFonts w:asciiTheme="minorHAnsi" w:hAnsiTheme="minorHAnsi" w:cstheme="minorBidi"/>
          <w:color w:val="000000" w:themeColor="text1"/>
          <w:sz w:val="22"/>
          <w:szCs w:val="22"/>
          <w:lang w:val="fr-FR"/>
        </w:rPr>
        <w:t xml:space="preserve"> SAU de 25.8 carreaux</w:t>
      </w:r>
      <w:r w:rsidRPr="00E56C47">
        <w:rPr>
          <w:rFonts w:asciiTheme="minorHAnsi" w:hAnsiTheme="minorHAnsi"/>
          <w:color w:val="000000" w:themeColor="text1"/>
          <w:sz w:val="22"/>
          <w:szCs w:val="22"/>
          <w:lang w:val="fr-FR"/>
        </w:rPr>
        <w:t xml:space="preserve"> et un n</w:t>
      </w:r>
      <w:r w:rsidRPr="00E56C47">
        <w:rPr>
          <w:rFonts w:asciiTheme="minorHAnsi" w:hAnsiTheme="minorHAnsi" w:cs="Calibri"/>
          <w:b/>
          <w:bCs/>
          <w:color w:val="000000" w:themeColor="text1"/>
          <w:sz w:val="22"/>
          <w:szCs w:val="22"/>
          <w:lang w:val="fr-FR"/>
        </w:rPr>
        <w:t xml:space="preserve">ombre d'arbres élevé à 176,027 dont </w:t>
      </w:r>
      <w:r w:rsidRPr="00E56C47">
        <w:rPr>
          <w:rFonts w:asciiTheme="minorHAnsi" w:hAnsiTheme="minorHAnsi" w:cs="Calibri"/>
          <w:color w:val="000000" w:themeColor="text1"/>
          <w:sz w:val="22"/>
          <w:szCs w:val="22"/>
          <w:lang w:val="fr-FR"/>
        </w:rPr>
        <w:t xml:space="preserve">166,940 (soit </w:t>
      </w:r>
      <w:r w:rsidRPr="00E56C47">
        <w:rPr>
          <w:rFonts w:asciiTheme="minorHAnsi" w:hAnsiTheme="minorHAnsi" w:cs="Calibri"/>
          <w:b/>
          <w:bCs/>
          <w:color w:val="000000" w:themeColor="text1"/>
          <w:sz w:val="22"/>
          <w:szCs w:val="22"/>
          <w:lang w:val="fr-FR"/>
        </w:rPr>
        <w:t xml:space="preserve">95%) </w:t>
      </w:r>
      <w:r w:rsidRPr="00E56C47">
        <w:rPr>
          <w:rFonts w:asciiTheme="minorHAnsi" w:hAnsiTheme="minorHAnsi" w:cs="Calibri"/>
          <w:color w:val="000000" w:themeColor="text1"/>
          <w:sz w:val="22"/>
          <w:szCs w:val="22"/>
          <w:lang w:val="fr-FR"/>
        </w:rPr>
        <w:t xml:space="preserve">en production. Ces chiffres devraient être en augmentation </w:t>
      </w:r>
      <w:r w:rsidRPr="00E56C47">
        <w:rPr>
          <w:rFonts w:asciiTheme="minorHAnsi" w:hAnsiTheme="minorHAnsi"/>
          <w:color w:val="000000" w:themeColor="text1"/>
          <w:sz w:val="22"/>
          <w:szCs w:val="22"/>
          <w:lang w:val="fr-FR"/>
        </w:rPr>
        <w:t xml:space="preserve">après le passage de l’ouragan Matthew, </w:t>
      </w:r>
      <w:r w:rsidRPr="00E56C47">
        <w:rPr>
          <w:rFonts w:asciiTheme="minorHAnsi" w:hAnsiTheme="minorHAnsi" w:cs="Calibri"/>
          <w:color w:val="000000" w:themeColor="text1"/>
          <w:sz w:val="22"/>
          <w:szCs w:val="22"/>
          <w:lang w:val="fr-FR"/>
        </w:rPr>
        <w:t>vu que chaque arbre tombé a développé des repousses par dizaines.</w:t>
      </w:r>
    </w:p>
    <w:p w:rsidR="001C67AB" w:rsidRPr="00E56C47" w:rsidRDefault="001C67AB" w:rsidP="003A7E6F">
      <w:pPr>
        <w:pStyle w:val="Heading2"/>
      </w:pPr>
      <w:r w:rsidRPr="00E56C47">
        <w:t xml:space="preserve">La noix de cajou </w:t>
      </w:r>
      <w:r w:rsidRPr="00E56C47">
        <w:rPr>
          <w:rFonts w:cs="Calibri"/>
        </w:rPr>
        <w:t xml:space="preserve">(Anacardier) </w:t>
      </w:r>
    </w:p>
    <w:p w:rsidR="001C67AB" w:rsidRPr="00E56C47" w:rsidRDefault="001C67AB" w:rsidP="003A7E6F">
      <w:pPr>
        <w:pStyle w:val="Default"/>
        <w:spacing w:before="120"/>
        <w:jc w:val="both"/>
        <w:rPr>
          <w:rFonts w:asciiTheme="minorHAnsi" w:hAnsiTheme="minorHAnsi" w:cs="Calibri"/>
          <w:color w:val="000000" w:themeColor="text1"/>
          <w:sz w:val="22"/>
          <w:szCs w:val="22"/>
          <w:lang w:val="fr-FR"/>
        </w:rPr>
      </w:pPr>
      <w:r w:rsidRPr="00E56C47">
        <w:rPr>
          <w:rFonts w:asciiTheme="minorHAnsi" w:hAnsiTheme="minorHAnsi" w:cs="TradeGothicLT"/>
          <w:color w:val="000000" w:themeColor="text1"/>
          <w:sz w:val="22"/>
          <w:szCs w:val="22"/>
          <w:lang w:val="fr-FR"/>
        </w:rPr>
        <w:t xml:space="preserve">Les données sur la filière noix de cajou en Haïti restent assez maigres. </w:t>
      </w:r>
      <w:r w:rsidRPr="00E56C47">
        <w:rPr>
          <w:rFonts w:asciiTheme="minorHAnsi" w:hAnsiTheme="minorHAnsi"/>
          <w:color w:val="000000" w:themeColor="text1"/>
          <w:sz w:val="22"/>
          <w:szCs w:val="22"/>
          <w:lang w:val="fr-FR"/>
        </w:rPr>
        <w:t xml:space="preserve">Suivant le MARNDR, avant l’ouragan Matthew, au niveau du département de la Grande-Anse, la culture de la </w:t>
      </w:r>
      <w:r w:rsidRPr="00E56C47">
        <w:rPr>
          <w:rFonts w:asciiTheme="minorHAnsi" w:hAnsiTheme="minorHAnsi" w:cs="Calibri"/>
          <w:color w:val="000000" w:themeColor="text1"/>
          <w:sz w:val="22"/>
          <w:szCs w:val="22"/>
          <w:lang w:val="fr-FR"/>
        </w:rPr>
        <w:t xml:space="preserve">Noix de cajou </w:t>
      </w:r>
      <w:r w:rsidRPr="00E56C47">
        <w:rPr>
          <w:rFonts w:asciiTheme="minorHAnsi" w:hAnsiTheme="minorHAnsi"/>
          <w:color w:val="000000" w:themeColor="text1"/>
          <w:sz w:val="22"/>
          <w:szCs w:val="22"/>
          <w:lang w:val="fr-FR"/>
        </w:rPr>
        <w:t xml:space="preserve">occuperait une </w:t>
      </w:r>
      <w:r w:rsidRPr="00E56C47">
        <w:rPr>
          <w:rFonts w:asciiTheme="minorHAnsi" w:hAnsiTheme="minorHAnsi" w:cstheme="minorBidi"/>
          <w:color w:val="000000" w:themeColor="text1"/>
          <w:sz w:val="22"/>
          <w:szCs w:val="22"/>
          <w:lang w:val="fr-FR"/>
        </w:rPr>
        <w:t>SAU</w:t>
      </w:r>
      <w:r w:rsidRPr="00E56C47">
        <w:rPr>
          <w:rFonts w:asciiTheme="minorHAnsi" w:hAnsiTheme="minorHAnsi"/>
          <w:color w:val="000000" w:themeColor="text1"/>
          <w:sz w:val="22"/>
          <w:szCs w:val="22"/>
          <w:lang w:val="fr-FR"/>
        </w:rPr>
        <w:t xml:space="preserve"> de </w:t>
      </w:r>
      <w:r w:rsidRPr="00E56C47">
        <w:rPr>
          <w:rFonts w:asciiTheme="minorHAnsi" w:hAnsiTheme="minorHAnsi" w:cs="Calibri"/>
          <w:color w:val="000000" w:themeColor="text1"/>
          <w:sz w:val="22"/>
          <w:szCs w:val="22"/>
          <w:lang w:val="fr-FR"/>
        </w:rPr>
        <w:t xml:space="preserve">17.1 Cx et 24,140 arbres dont </w:t>
      </w:r>
      <w:r w:rsidRPr="00E56C47">
        <w:rPr>
          <w:rFonts w:asciiTheme="minorHAnsi" w:hAnsiTheme="minorHAnsi" w:cs="Calibri"/>
          <w:color w:val="000000" w:themeColor="text1"/>
          <w:sz w:val="22"/>
          <w:szCs w:val="22"/>
          <w:lang w:val="fr-FR"/>
        </w:rPr>
        <w:lastRenderedPageBreak/>
        <w:t>seulement 3,640 (soit 15%) productifs contre une SAU de 1.3 Cx pour le Sud avec 6,977 arbres dont 5,640 (soit 80%) en production.</w:t>
      </w:r>
    </w:p>
    <w:p w:rsidR="001C67AB" w:rsidRPr="00E56C47" w:rsidRDefault="001C67AB" w:rsidP="003A7E6F">
      <w:pPr>
        <w:pStyle w:val="Heading2"/>
      </w:pPr>
      <w:r w:rsidRPr="00E56C47">
        <w:t>Le ricin (ou Palma Christi)</w:t>
      </w:r>
    </w:p>
    <w:p w:rsidR="001C67AB" w:rsidRPr="00E56C47" w:rsidRDefault="001C67AB" w:rsidP="003A7E6F">
      <w:pPr>
        <w:autoSpaceDE w:val="0"/>
        <w:autoSpaceDN w:val="0"/>
        <w:adjustRightInd w:val="0"/>
        <w:spacing w:before="120" w:after="0" w:line="240" w:lineRule="auto"/>
        <w:jc w:val="both"/>
        <w:rPr>
          <w:rFonts w:cs="TradeGothicLT"/>
          <w:color w:val="000000" w:themeColor="text1"/>
        </w:rPr>
      </w:pPr>
      <w:r w:rsidRPr="00E56C47">
        <w:rPr>
          <w:rFonts w:cs="TradeGothicLT"/>
          <w:color w:val="000000" w:themeColor="text1"/>
        </w:rPr>
        <w:t>Suivant Carl Monde, la production mondiale d’huile de ricin est très en-dessous de la demande. Il a estimé la demande mondiale à environ 800,000 tonnes alors que l’offre est d’environ 300,000 tonnes. Comme l’indique le P</w:t>
      </w:r>
      <w:r w:rsidR="00CB1330">
        <w:rPr>
          <w:rFonts w:cs="TradeGothicLT"/>
          <w:color w:val="000000" w:themeColor="text1"/>
        </w:rPr>
        <w:t xml:space="preserve">rogramme des </w:t>
      </w:r>
      <w:r w:rsidRPr="00E56C47">
        <w:rPr>
          <w:rFonts w:cs="TradeGothicLT"/>
          <w:color w:val="000000" w:themeColor="text1"/>
        </w:rPr>
        <w:t>N</w:t>
      </w:r>
      <w:r w:rsidR="00CB1330">
        <w:rPr>
          <w:rFonts w:cs="TradeGothicLT"/>
          <w:color w:val="000000" w:themeColor="text1"/>
        </w:rPr>
        <w:t xml:space="preserve">ations </w:t>
      </w:r>
      <w:r w:rsidRPr="00E56C47">
        <w:rPr>
          <w:rFonts w:cs="TradeGothicLT"/>
          <w:color w:val="000000" w:themeColor="text1"/>
        </w:rPr>
        <w:t>U</w:t>
      </w:r>
      <w:r w:rsidR="00CB1330">
        <w:rPr>
          <w:rFonts w:cs="TradeGothicLT"/>
          <w:color w:val="000000" w:themeColor="text1"/>
        </w:rPr>
        <w:t>nies pour l’</w:t>
      </w:r>
      <w:r w:rsidRPr="00E56C47">
        <w:rPr>
          <w:rFonts w:cs="TradeGothicLT"/>
          <w:color w:val="000000" w:themeColor="text1"/>
        </w:rPr>
        <w:t>E</w:t>
      </w:r>
      <w:r w:rsidR="00CB1330">
        <w:rPr>
          <w:rFonts w:cs="TradeGothicLT"/>
          <w:color w:val="000000" w:themeColor="text1"/>
        </w:rPr>
        <w:t>nvironnement (PNUE)</w:t>
      </w:r>
      <w:r w:rsidRPr="00E56C47">
        <w:rPr>
          <w:rFonts w:cs="TradeGothicLT"/>
          <w:color w:val="000000" w:themeColor="text1"/>
        </w:rPr>
        <w:t xml:space="preserve">, l’huile de ricin est attiré par les secteurs manufacturiers suivants : pharmacie, cosmétiques, lubrifiants, savon, encre, peinture, électronique, télécommunications, plastique, nylon, etc. mais aussi dans le secteur </w:t>
      </w:r>
      <w:r w:rsidR="007A7DDE" w:rsidRPr="00E56C47">
        <w:rPr>
          <w:rFonts w:cs="TradeGothicLT"/>
          <w:color w:val="000000" w:themeColor="text1"/>
        </w:rPr>
        <w:t>énergétique (biodiesel).</w:t>
      </w:r>
    </w:p>
    <w:p w:rsidR="00F20811" w:rsidRPr="00E56C47" w:rsidRDefault="001C67AB" w:rsidP="003A7E6F">
      <w:pPr>
        <w:pStyle w:val="Heading2"/>
      </w:pPr>
      <w:r w:rsidRPr="00E56C47">
        <w:t xml:space="preserve">2.2.- </w:t>
      </w:r>
      <w:r w:rsidR="00F20811" w:rsidRPr="00E56C47">
        <w:t>Portée de l’étude</w:t>
      </w:r>
    </w:p>
    <w:p w:rsidR="00F20811" w:rsidRPr="00E56C47" w:rsidRDefault="00F20811" w:rsidP="003A7E6F">
      <w:pPr>
        <w:spacing w:before="120" w:after="0" w:line="240" w:lineRule="auto"/>
        <w:jc w:val="both"/>
        <w:rPr>
          <w:color w:val="000000" w:themeColor="text1"/>
        </w:rPr>
      </w:pPr>
      <w:r w:rsidRPr="00E56C47">
        <w:rPr>
          <w:color w:val="000000" w:themeColor="text1"/>
        </w:rPr>
        <w:t xml:space="preserve">L’étude fait partie de </w:t>
      </w:r>
      <w:r w:rsidRPr="00E56C47">
        <w:rPr>
          <w:b/>
          <w:color w:val="000000" w:themeColor="text1"/>
          <w:u w:val="single"/>
        </w:rPr>
        <w:t>l'objectif immédiat 2</w:t>
      </w:r>
      <w:r w:rsidRPr="00E56C47">
        <w:rPr>
          <w:color w:val="000000" w:themeColor="text1"/>
        </w:rPr>
        <w:t xml:space="preserve"> du projet : «</w:t>
      </w:r>
      <w:r w:rsidRPr="00E56C47">
        <w:rPr>
          <w:i/>
          <w:color w:val="000000" w:themeColor="text1"/>
        </w:rPr>
        <w:t>Les capacités techniques des ouvriers agricoles et des pêcheurs des secteurs productifs prioritaires sont renforcées - par le biais d'une formation technique agréée par l'État - pour améliorer leur insertion sur le marché du travail, par le biais de coopératives ou d'entreprises agricoles et de pêche durables, en accordant une attention particulière aux besoins et spécificités de genre</w:t>
      </w:r>
      <w:r w:rsidRPr="00E56C47">
        <w:rPr>
          <w:color w:val="000000" w:themeColor="text1"/>
        </w:rPr>
        <w:t xml:space="preserve"> ».</w:t>
      </w:r>
    </w:p>
    <w:p w:rsidR="00F20811" w:rsidRPr="00E56C47" w:rsidRDefault="00F20811" w:rsidP="003A7E6F">
      <w:pPr>
        <w:spacing w:before="120" w:after="0" w:line="240" w:lineRule="auto"/>
        <w:jc w:val="both"/>
        <w:rPr>
          <w:color w:val="000000" w:themeColor="text1"/>
        </w:rPr>
      </w:pPr>
      <w:r w:rsidRPr="00E56C47">
        <w:rPr>
          <w:color w:val="000000" w:themeColor="text1"/>
        </w:rPr>
        <w:t xml:space="preserve">Elle répond en particulier, </w:t>
      </w:r>
      <w:r w:rsidRPr="00E56C47">
        <w:rPr>
          <w:b/>
          <w:color w:val="000000" w:themeColor="text1"/>
          <w:u w:val="single"/>
        </w:rPr>
        <w:t>au produit 2.2</w:t>
      </w:r>
      <w:r w:rsidRPr="00E56C47">
        <w:rPr>
          <w:color w:val="000000" w:themeColor="text1"/>
        </w:rPr>
        <w:t>: « </w:t>
      </w:r>
      <w:r w:rsidRPr="00E56C47">
        <w:rPr>
          <w:i/>
          <w:color w:val="000000" w:themeColor="text1"/>
        </w:rPr>
        <w:t>de meilleurs emplois et opportunités d’affaires pour les jeunes, avec une approche genre globale, à travers deux études parallèles: l’analyse des chaînes de valeur et l’évaluation rapide du marché du travail</w:t>
      </w:r>
      <w:r w:rsidRPr="00E56C47">
        <w:rPr>
          <w:color w:val="000000" w:themeColor="text1"/>
        </w:rPr>
        <w:t xml:space="preserve"> ».</w:t>
      </w:r>
    </w:p>
    <w:p w:rsidR="00F20811" w:rsidRDefault="00F20811" w:rsidP="003A7E6F">
      <w:pPr>
        <w:spacing w:before="120" w:after="0" w:line="240" w:lineRule="auto"/>
        <w:jc w:val="both"/>
        <w:rPr>
          <w:color w:val="000000" w:themeColor="text1"/>
        </w:rPr>
      </w:pPr>
      <w:r w:rsidRPr="00E56C47">
        <w:rPr>
          <w:color w:val="000000" w:themeColor="text1"/>
        </w:rPr>
        <w:t>La consultation effectuera plusieurs missions de terrain qui toucheront tous les acteurs (productifs, institutionnels et académiques) incluant les rencontres de collecte d’information ou de présentation des résultats auprès les départements de Recherche et de diffusion des Universités et d’autres partenaires de la formation professionnelle.</w:t>
      </w:r>
    </w:p>
    <w:p w:rsidR="00BA688C" w:rsidRDefault="00BA688C" w:rsidP="003A7E6F">
      <w:pPr>
        <w:spacing w:before="120" w:after="0" w:line="240" w:lineRule="auto"/>
        <w:jc w:val="both"/>
        <w:rPr>
          <w:color w:val="000000" w:themeColor="text1"/>
        </w:rPr>
      </w:pPr>
    </w:p>
    <w:p w:rsidR="00BA688C" w:rsidRPr="00E56C47" w:rsidRDefault="00BA688C" w:rsidP="003A7E6F">
      <w:pPr>
        <w:spacing w:before="120" w:after="0" w:line="240" w:lineRule="auto"/>
        <w:jc w:val="both"/>
        <w:rPr>
          <w:color w:val="000000" w:themeColor="text1"/>
        </w:rPr>
      </w:pPr>
    </w:p>
    <w:p w:rsidR="00F20811" w:rsidRPr="00E56C47" w:rsidRDefault="00363911" w:rsidP="003A7E6F">
      <w:pPr>
        <w:shd w:val="clear" w:color="auto" w:fill="D9D9D9" w:themeFill="background1" w:themeFillShade="D9"/>
        <w:spacing w:before="120" w:after="0" w:line="240" w:lineRule="auto"/>
        <w:rPr>
          <w:b/>
          <w:color w:val="000000" w:themeColor="text1"/>
        </w:rPr>
      </w:pPr>
      <w:r w:rsidRPr="00E56C47">
        <w:rPr>
          <w:b/>
          <w:color w:val="000000" w:themeColor="text1"/>
        </w:rPr>
        <w:t xml:space="preserve">3.- </w:t>
      </w:r>
      <w:r w:rsidR="00F20811" w:rsidRPr="00E56C47">
        <w:rPr>
          <w:b/>
          <w:color w:val="000000" w:themeColor="text1"/>
        </w:rPr>
        <w:t>Objectifs de l’étude</w:t>
      </w:r>
    </w:p>
    <w:p w:rsidR="00F20811" w:rsidRPr="00E56C47" w:rsidRDefault="00F20811" w:rsidP="003A7E6F">
      <w:pPr>
        <w:pStyle w:val="Heading2"/>
      </w:pPr>
      <w:r w:rsidRPr="00E56C47">
        <w:t>Objectif général</w:t>
      </w:r>
    </w:p>
    <w:p w:rsidR="00F20811" w:rsidRPr="00E56C47" w:rsidRDefault="00F20811" w:rsidP="003A7E6F">
      <w:pPr>
        <w:spacing w:before="120" w:after="0" w:line="240" w:lineRule="auto"/>
        <w:jc w:val="both"/>
        <w:rPr>
          <w:color w:val="000000" w:themeColor="text1"/>
        </w:rPr>
      </w:pPr>
      <w:r w:rsidRPr="00E56C47">
        <w:rPr>
          <w:color w:val="000000" w:themeColor="text1"/>
        </w:rPr>
        <w:t>Pour ces 4 fruits, l’étude doit permettre globalement d’identifier les opportunités commerciales à explorer.</w:t>
      </w:r>
    </w:p>
    <w:p w:rsidR="00F20811" w:rsidRPr="00E56C47" w:rsidRDefault="00F20811" w:rsidP="003A7E6F">
      <w:pPr>
        <w:pStyle w:val="Heading2"/>
      </w:pPr>
      <w:r w:rsidRPr="00E56C47">
        <w:t>Objectifs spécifiques</w:t>
      </w:r>
    </w:p>
    <w:p w:rsidR="00F20811" w:rsidRPr="00E56C47" w:rsidRDefault="00F20811" w:rsidP="003A7E6F">
      <w:pPr>
        <w:spacing w:before="120" w:after="0" w:line="240" w:lineRule="auto"/>
        <w:jc w:val="both"/>
        <w:rPr>
          <w:color w:val="000000" w:themeColor="text1"/>
        </w:rPr>
      </w:pPr>
      <w:r w:rsidRPr="00E56C47">
        <w:rPr>
          <w:color w:val="000000" w:themeColor="text1"/>
        </w:rPr>
        <w:t>De manière spécifique, l’étude doit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Identifier les maillons sur lesquels investir en vue d’une valorisation optimale des investissements du projet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identifier les goulots d’étranglement qui empêchent la participation des associations de producteurs au développement réel de ces chaînes de valeur ; </w:t>
      </w:r>
    </w:p>
    <w:p w:rsidR="00F20811" w:rsidRPr="00E56C47" w:rsidRDefault="00BA688C" w:rsidP="003A7E6F">
      <w:pPr>
        <w:pStyle w:val="ListParagraph"/>
        <w:numPr>
          <w:ilvl w:val="0"/>
          <w:numId w:val="11"/>
        </w:numPr>
        <w:spacing w:before="120" w:after="0" w:line="240" w:lineRule="auto"/>
        <w:ind w:left="142" w:hanging="142"/>
        <w:contextualSpacing w:val="0"/>
        <w:jc w:val="both"/>
        <w:rPr>
          <w:color w:val="000000" w:themeColor="text1"/>
        </w:rPr>
      </w:pPr>
      <w:r>
        <w:rPr>
          <w:color w:val="000000" w:themeColor="text1"/>
        </w:rPr>
        <w:t xml:space="preserve">la faisabilité de </w:t>
      </w:r>
      <w:r w:rsidR="00F20811" w:rsidRPr="00E56C47">
        <w:rPr>
          <w:color w:val="000000" w:themeColor="text1"/>
        </w:rPr>
        <w:t>développement d’un modèle de formation professionnelle qui pourrait lier la formation technique au monde productif</w:t>
      </w:r>
      <w:r w:rsidR="00FD0A5F" w:rsidRPr="00E56C47">
        <w:rPr>
          <w:color w:val="000000" w:themeColor="text1"/>
        </w:rPr>
        <w:t>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la faisabilité des investissements en vue de l’amélioration de la production et du commerce local ou dans le sens de l'exportation en cours pour le cacao ou le ricin et du développement d’un circuit d’exportation sur des marchés de niches ou équitables pour les autres comme le fruit à pain ou la noix de cajou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pour chacune des CdV, fournir un plan stratégique qui permettrait le développement des entreprises </w:t>
      </w:r>
    </w:p>
    <w:p w:rsidR="00F20811" w:rsidRPr="00E56C47" w:rsidRDefault="00363911" w:rsidP="009A4DC0">
      <w:pPr>
        <w:shd w:val="clear" w:color="auto" w:fill="D9D9D9" w:themeFill="background1" w:themeFillShade="D9"/>
        <w:spacing w:before="240" w:after="0" w:line="240" w:lineRule="auto"/>
        <w:rPr>
          <w:b/>
          <w:color w:val="000000" w:themeColor="text1"/>
        </w:rPr>
      </w:pPr>
      <w:r w:rsidRPr="00E56C47">
        <w:rPr>
          <w:b/>
          <w:color w:val="000000" w:themeColor="text1"/>
        </w:rPr>
        <w:t>4.- Les produits attendus</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Une fiche de synthèse et d’indication claire sur les potentiels d’exploitation et de développement au niveau de chacune des CdV (notamment sur la production et le commerce local des quatre (4) fruits concernés, l'amélioration de l’exportation dans le cas du cacao ou du ricin et l’émergence d’un circuit d’exportation sur des marchés de niches ou équitables pour les autres comme le fruit à pain ou la noix de cajou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lastRenderedPageBreak/>
        <w:t xml:space="preserve">Une cartographie des quatre (4) chaînes de valeur visant à faire ressortir sur un modèle visuel adapté à la réalité économique des communautés impliquées avec les fonctions diverses, les parties prenantes et les interdépendances ;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une analyse quantificative des quatre (4) chaînes de valeur qui permet de compléter la cartographie de chaînes de valeur et de comparer l’état actuel de la chaîne de valeur aux états alternatifs potentiels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Une analyse économique et financière des quatre (4) chaînes de valeur en évaluant les coûts de production et de commercialisation à chaque étape de ces chaînes de valeur et déterminer la structure des coûts le long des chaînes ;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Une analyse des marchés potentiels et les formes de produits présentant des opportunités économiques durables pour les agriculteurs familiaux ;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Une proposition de schémas de facilitation du processus de développement des quatre (4) chaînes de valeur en se basant</w:t>
      </w:r>
      <w:r w:rsidR="007A7DDE" w:rsidRPr="00E56C47">
        <w:rPr>
          <w:color w:val="000000" w:themeColor="text1"/>
        </w:rPr>
        <w:t xml:space="preserve"> sur</w:t>
      </w:r>
      <w:r w:rsidRPr="00E56C47">
        <w:rPr>
          <w:color w:val="000000" w:themeColor="text1"/>
        </w:rPr>
        <w:t>:</w:t>
      </w:r>
    </w:p>
    <w:p w:rsidR="00F20811" w:rsidRPr="00E56C47" w:rsidRDefault="00F20811" w:rsidP="003A7E6F">
      <w:pPr>
        <w:pStyle w:val="ListParagraph"/>
        <w:numPr>
          <w:ilvl w:val="1"/>
          <w:numId w:val="13"/>
        </w:numPr>
        <w:spacing w:before="120" w:after="0" w:line="240" w:lineRule="auto"/>
        <w:ind w:left="426" w:hanging="284"/>
        <w:contextualSpacing w:val="0"/>
        <w:jc w:val="both"/>
        <w:rPr>
          <w:color w:val="000000" w:themeColor="text1"/>
        </w:rPr>
      </w:pPr>
      <w:r w:rsidRPr="00E56C47">
        <w:rPr>
          <w:color w:val="000000" w:themeColor="text1"/>
        </w:rPr>
        <w:t xml:space="preserve">La clarification des rôles des acteurs publics, privés et partenaires ; </w:t>
      </w:r>
    </w:p>
    <w:p w:rsidR="00F20811" w:rsidRPr="00E56C47" w:rsidRDefault="00F20811" w:rsidP="003A7E6F">
      <w:pPr>
        <w:pStyle w:val="ListParagraph"/>
        <w:numPr>
          <w:ilvl w:val="1"/>
          <w:numId w:val="13"/>
        </w:numPr>
        <w:spacing w:before="120" w:after="0" w:line="240" w:lineRule="auto"/>
        <w:ind w:left="426" w:hanging="284"/>
        <w:contextualSpacing w:val="0"/>
        <w:jc w:val="both"/>
        <w:rPr>
          <w:color w:val="000000" w:themeColor="text1"/>
        </w:rPr>
      </w:pPr>
      <w:r w:rsidRPr="00E56C47">
        <w:rPr>
          <w:color w:val="000000" w:themeColor="text1"/>
        </w:rPr>
        <w:t xml:space="preserve">L’identification des projets de promotion des 4 chaînes de valeur ; </w:t>
      </w:r>
    </w:p>
    <w:p w:rsidR="00F20811" w:rsidRPr="00E56C47" w:rsidRDefault="00F20811" w:rsidP="003A7E6F">
      <w:pPr>
        <w:pStyle w:val="ListParagraph"/>
        <w:numPr>
          <w:ilvl w:val="1"/>
          <w:numId w:val="13"/>
        </w:numPr>
        <w:spacing w:before="120" w:after="0" w:line="240" w:lineRule="auto"/>
        <w:ind w:left="426" w:hanging="284"/>
        <w:contextualSpacing w:val="0"/>
        <w:jc w:val="both"/>
        <w:rPr>
          <w:color w:val="000000" w:themeColor="text1"/>
        </w:rPr>
      </w:pPr>
      <w:r w:rsidRPr="00E56C47">
        <w:rPr>
          <w:color w:val="000000" w:themeColor="text1"/>
        </w:rPr>
        <w:t>L’identification des axes de renforcement des relations d’affaires entre les producteurs agricoles des communautés d’intervention et les autres acteurs de ces CdV.</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Le plan de diffusion et d’appropriation des résultats auprès des acteurs impliqués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Une proposition méthodologique pour des investissements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 projet de présentation PPT ;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 plan de travail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 rapport préalable d’évaluation des CdV.</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 rapport intermédiaire et un rapport final de consultation incluant les recommandations stratégiques ;</w:t>
      </w:r>
    </w:p>
    <w:p w:rsidR="009316B0" w:rsidRPr="003A7E6F" w:rsidRDefault="00F20811" w:rsidP="00A56381">
      <w:pPr>
        <w:pStyle w:val="ListParagraph"/>
        <w:numPr>
          <w:ilvl w:val="0"/>
          <w:numId w:val="11"/>
        </w:numPr>
        <w:spacing w:before="120" w:after="0" w:line="240" w:lineRule="auto"/>
        <w:ind w:left="142" w:hanging="142"/>
        <w:contextualSpacing w:val="0"/>
        <w:jc w:val="both"/>
        <w:rPr>
          <w:color w:val="000000" w:themeColor="text1"/>
        </w:rPr>
      </w:pPr>
      <w:r w:rsidRPr="003A7E6F">
        <w:rPr>
          <w:color w:val="000000" w:themeColor="text1"/>
        </w:rPr>
        <w:lastRenderedPageBreak/>
        <w:t xml:space="preserve">une présentation </w:t>
      </w:r>
      <w:r w:rsidR="00BA688C">
        <w:rPr>
          <w:color w:val="000000" w:themeColor="text1"/>
        </w:rPr>
        <w:t>PowerPoint (PPT)</w:t>
      </w:r>
      <w:r w:rsidRPr="003A7E6F">
        <w:rPr>
          <w:color w:val="000000" w:themeColor="text1"/>
        </w:rPr>
        <w:t xml:space="preserve"> qui tient compte du rapport final approuvé par le projet ; </w:t>
      </w:r>
    </w:p>
    <w:p w:rsidR="00F20811" w:rsidRPr="00E56C47" w:rsidRDefault="007A7DDE" w:rsidP="009A4DC0">
      <w:pPr>
        <w:shd w:val="clear" w:color="auto" w:fill="D9D9D9" w:themeFill="background1" w:themeFillShade="D9"/>
        <w:spacing w:before="240" w:after="0" w:line="240" w:lineRule="auto"/>
        <w:rPr>
          <w:b/>
          <w:color w:val="000000" w:themeColor="text1"/>
        </w:rPr>
      </w:pPr>
      <w:r w:rsidRPr="00E56C47">
        <w:rPr>
          <w:b/>
          <w:color w:val="000000" w:themeColor="text1"/>
        </w:rPr>
        <w:t>5.- Période de la consultation</w:t>
      </w:r>
    </w:p>
    <w:p w:rsidR="00F20811" w:rsidRPr="00E56C47" w:rsidRDefault="00F20811" w:rsidP="003A7E6F">
      <w:pPr>
        <w:pStyle w:val="Default"/>
        <w:spacing w:before="120"/>
        <w:jc w:val="both"/>
        <w:rPr>
          <w:rFonts w:asciiTheme="minorHAnsi" w:eastAsia="Times New Roman" w:hAnsiTheme="minorHAnsi" w:cs="Arial"/>
          <w:color w:val="000000" w:themeColor="text1"/>
          <w:sz w:val="22"/>
          <w:szCs w:val="22"/>
          <w:lang w:val="fr-FR" w:eastAsia="es-PE"/>
        </w:rPr>
      </w:pPr>
      <w:r w:rsidRPr="00E56C47">
        <w:rPr>
          <w:rFonts w:asciiTheme="minorHAnsi" w:eastAsia="Times New Roman" w:hAnsiTheme="minorHAnsi" w:cs="Arial"/>
          <w:color w:val="000000" w:themeColor="text1"/>
          <w:sz w:val="22"/>
          <w:szCs w:val="22"/>
          <w:lang w:val="fr-FR" w:eastAsia="es-PE"/>
        </w:rPr>
        <w:t xml:space="preserve">La mission se déroulera sur la période du </w:t>
      </w:r>
      <w:r w:rsidR="00DC5378">
        <w:rPr>
          <w:rFonts w:asciiTheme="minorHAnsi" w:eastAsia="Times New Roman" w:hAnsiTheme="minorHAnsi" w:cs="Arial"/>
          <w:color w:val="000000" w:themeColor="text1"/>
          <w:sz w:val="22"/>
          <w:szCs w:val="22"/>
          <w:lang w:val="fr-FR" w:eastAsia="es-PE"/>
        </w:rPr>
        <w:t>1</w:t>
      </w:r>
      <w:r w:rsidR="00DC5378" w:rsidRPr="00DC5378">
        <w:rPr>
          <w:rFonts w:asciiTheme="minorHAnsi" w:eastAsia="Times New Roman" w:hAnsiTheme="minorHAnsi" w:cs="Arial"/>
          <w:color w:val="000000" w:themeColor="text1"/>
          <w:sz w:val="22"/>
          <w:szCs w:val="22"/>
          <w:vertAlign w:val="superscript"/>
          <w:lang w:val="fr-FR" w:eastAsia="es-PE"/>
        </w:rPr>
        <w:t>er</w:t>
      </w:r>
      <w:r w:rsidR="00DC5378">
        <w:rPr>
          <w:rFonts w:asciiTheme="minorHAnsi" w:eastAsia="Times New Roman" w:hAnsiTheme="minorHAnsi" w:cs="Arial"/>
          <w:color w:val="000000" w:themeColor="text1"/>
          <w:sz w:val="22"/>
          <w:szCs w:val="22"/>
          <w:lang w:val="fr-FR" w:eastAsia="es-PE"/>
        </w:rPr>
        <w:t xml:space="preserve"> septembre</w:t>
      </w:r>
      <w:r w:rsidRPr="00E56C47">
        <w:rPr>
          <w:rFonts w:asciiTheme="minorHAnsi" w:eastAsia="Times New Roman" w:hAnsiTheme="minorHAnsi" w:cs="Arial"/>
          <w:color w:val="000000" w:themeColor="text1"/>
          <w:sz w:val="22"/>
          <w:szCs w:val="22"/>
          <w:lang w:val="fr-FR" w:eastAsia="es-PE"/>
        </w:rPr>
        <w:t xml:space="preserve"> au 15 décembre 2019 inclusivement incluant les déplacements sur le terrain et les réunions avec les acteurs. </w:t>
      </w:r>
    </w:p>
    <w:p w:rsidR="00F20811" w:rsidRPr="00E56C47" w:rsidRDefault="007A7DDE" w:rsidP="009A4DC0">
      <w:pPr>
        <w:shd w:val="clear" w:color="auto" w:fill="D9D9D9" w:themeFill="background1" w:themeFillShade="D9"/>
        <w:spacing w:before="240" w:after="0" w:line="240" w:lineRule="auto"/>
        <w:rPr>
          <w:b/>
          <w:color w:val="000000" w:themeColor="text1"/>
        </w:rPr>
      </w:pPr>
      <w:r w:rsidRPr="00E56C47">
        <w:rPr>
          <w:b/>
          <w:color w:val="000000" w:themeColor="text1"/>
        </w:rPr>
        <w:t>6.- Les honoraires</w:t>
      </w:r>
    </w:p>
    <w:p w:rsidR="00F20811" w:rsidRDefault="00F20811" w:rsidP="003A7E6F">
      <w:pPr>
        <w:pStyle w:val="Default"/>
        <w:spacing w:before="120"/>
        <w:jc w:val="both"/>
        <w:rPr>
          <w:rFonts w:asciiTheme="minorHAnsi" w:eastAsia="Times New Roman" w:hAnsiTheme="minorHAnsi" w:cs="Arial"/>
          <w:color w:val="000000" w:themeColor="text1"/>
          <w:sz w:val="22"/>
          <w:szCs w:val="22"/>
          <w:lang w:val="fr-FR" w:eastAsia="es-PE"/>
        </w:rPr>
      </w:pPr>
      <w:r w:rsidRPr="00E56C47">
        <w:rPr>
          <w:rFonts w:asciiTheme="minorHAnsi" w:eastAsia="Times New Roman" w:hAnsiTheme="minorHAnsi" w:cs="Arial"/>
          <w:color w:val="000000" w:themeColor="text1"/>
          <w:sz w:val="22"/>
          <w:szCs w:val="22"/>
          <w:lang w:val="fr-FR" w:eastAsia="es-PE"/>
        </w:rPr>
        <w:t xml:space="preserve">Le montant des services pour cette </w:t>
      </w:r>
      <w:r w:rsidR="007A7DDE" w:rsidRPr="00E56C47">
        <w:rPr>
          <w:rFonts w:asciiTheme="minorHAnsi" w:eastAsia="Times New Roman" w:hAnsiTheme="minorHAnsi" w:cs="Arial"/>
          <w:color w:val="000000" w:themeColor="text1"/>
          <w:sz w:val="22"/>
          <w:szCs w:val="22"/>
          <w:lang w:val="fr-FR" w:eastAsia="es-PE"/>
        </w:rPr>
        <w:t>étude</w:t>
      </w:r>
      <w:r w:rsidRPr="00E56C47">
        <w:rPr>
          <w:rFonts w:asciiTheme="minorHAnsi" w:eastAsia="Times New Roman" w:hAnsiTheme="minorHAnsi" w:cs="Arial"/>
          <w:color w:val="000000" w:themeColor="text1"/>
          <w:sz w:val="22"/>
          <w:szCs w:val="22"/>
          <w:lang w:val="fr-FR" w:eastAsia="es-PE"/>
        </w:rPr>
        <w:t xml:space="preserve"> ne p</w:t>
      </w:r>
      <w:r w:rsidR="007A7DDE" w:rsidRPr="00E56C47">
        <w:rPr>
          <w:rFonts w:asciiTheme="minorHAnsi" w:eastAsia="Times New Roman" w:hAnsiTheme="minorHAnsi" w:cs="Arial"/>
          <w:color w:val="000000" w:themeColor="text1"/>
          <w:sz w:val="22"/>
          <w:szCs w:val="22"/>
          <w:lang w:val="fr-FR" w:eastAsia="es-PE"/>
        </w:rPr>
        <w:t>ourra pas</w:t>
      </w:r>
      <w:r w:rsidRPr="00E56C47">
        <w:rPr>
          <w:rFonts w:asciiTheme="minorHAnsi" w:eastAsia="Times New Roman" w:hAnsiTheme="minorHAnsi" w:cs="Arial"/>
          <w:color w:val="000000" w:themeColor="text1"/>
          <w:sz w:val="22"/>
          <w:szCs w:val="22"/>
          <w:lang w:val="fr-FR" w:eastAsia="es-PE"/>
        </w:rPr>
        <w:t xml:space="preserve"> excéder </w:t>
      </w:r>
      <w:r w:rsidRPr="00E56C47">
        <w:rPr>
          <w:rFonts w:asciiTheme="minorHAnsi" w:eastAsia="Times New Roman" w:hAnsiTheme="minorHAnsi" w:cs="Arial"/>
          <w:b/>
          <w:color w:val="000000" w:themeColor="text1"/>
          <w:sz w:val="22"/>
          <w:szCs w:val="22"/>
          <w:lang w:val="fr-FR" w:eastAsia="es-PE"/>
        </w:rPr>
        <w:t>40.000 USD</w:t>
      </w:r>
      <w:r w:rsidRPr="00E56C47">
        <w:rPr>
          <w:rFonts w:asciiTheme="minorHAnsi" w:eastAsia="Times New Roman" w:hAnsiTheme="minorHAnsi" w:cs="Arial"/>
          <w:color w:val="000000" w:themeColor="text1"/>
          <w:sz w:val="22"/>
          <w:szCs w:val="22"/>
          <w:lang w:val="fr-FR" w:eastAsia="es-PE"/>
        </w:rPr>
        <w:t xml:space="preserve"> </w:t>
      </w:r>
    </w:p>
    <w:p w:rsidR="00F20811" w:rsidRPr="00E56C47" w:rsidRDefault="007A7DDE" w:rsidP="009A4DC0">
      <w:pPr>
        <w:shd w:val="clear" w:color="auto" w:fill="D9D9D9" w:themeFill="background1" w:themeFillShade="D9"/>
        <w:spacing w:before="240" w:after="0" w:line="240" w:lineRule="auto"/>
        <w:rPr>
          <w:b/>
          <w:color w:val="000000" w:themeColor="text1"/>
        </w:rPr>
      </w:pPr>
      <w:r w:rsidRPr="00E56C47">
        <w:rPr>
          <w:b/>
          <w:color w:val="000000" w:themeColor="text1"/>
        </w:rPr>
        <w:t xml:space="preserve">7.- Profil du </w:t>
      </w:r>
      <w:r w:rsidRPr="009A4DC0">
        <w:rPr>
          <w:b/>
          <w:color w:val="000000" w:themeColor="text1"/>
        </w:rPr>
        <w:t>bureau d’études</w:t>
      </w:r>
    </w:p>
    <w:p w:rsidR="00F20811" w:rsidRPr="00E56C47" w:rsidRDefault="007A7DDE" w:rsidP="003A7E6F">
      <w:pPr>
        <w:pStyle w:val="Heading2"/>
      </w:pPr>
      <w:r w:rsidRPr="00E56C47">
        <w:t xml:space="preserve">7.1.- </w:t>
      </w:r>
      <w:r w:rsidR="00F20811" w:rsidRPr="00E56C47">
        <w:t xml:space="preserve">Capacités requises </w:t>
      </w:r>
    </w:p>
    <w:p w:rsidR="00F20811" w:rsidRPr="00E56C47" w:rsidRDefault="00F20811" w:rsidP="003A7E6F">
      <w:pPr>
        <w:pStyle w:val="Default"/>
        <w:spacing w:before="120"/>
        <w:jc w:val="both"/>
        <w:rPr>
          <w:rFonts w:asciiTheme="minorHAnsi" w:eastAsia="Times New Roman" w:hAnsiTheme="minorHAnsi" w:cs="Arial"/>
          <w:color w:val="000000" w:themeColor="text1"/>
          <w:sz w:val="22"/>
          <w:szCs w:val="22"/>
          <w:lang w:val="fr-FR" w:eastAsia="es-PE"/>
        </w:rPr>
      </w:pPr>
      <w:r w:rsidRPr="00E56C47">
        <w:rPr>
          <w:rFonts w:asciiTheme="minorHAnsi" w:eastAsia="Times New Roman" w:hAnsiTheme="minorHAnsi" w:cs="Arial"/>
          <w:color w:val="000000" w:themeColor="text1"/>
          <w:sz w:val="22"/>
          <w:szCs w:val="22"/>
          <w:lang w:val="fr-FR" w:eastAsia="es-PE"/>
        </w:rPr>
        <w:t>Le bureau d’études aura les capacités à conduire et à mener des analyses dans les filières indiquées. Il devra</w:t>
      </w:r>
      <w:r w:rsidR="00BA688C">
        <w:rPr>
          <w:rFonts w:asciiTheme="minorHAnsi" w:eastAsia="Times New Roman" w:hAnsiTheme="minorHAnsi" w:cs="Arial"/>
          <w:color w:val="000000" w:themeColor="text1"/>
          <w:sz w:val="22"/>
          <w:szCs w:val="22"/>
          <w:lang w:val="fr-FR" w:eastAsia="es-PE"/>
        </w:rPr>
        <w:t xml:space="preserve"> démontrer les éléments suivants :</w:t>
      </w:r>
    </w:p>
    <w:p w:rsidR="007A7DDE" w:rsidRPr="00E56C47" w:rsidRDefault="00A41691" w:rsidP="003A7E6F">
      <w:pPr>
        <w:pStyle w:val="ListParagraph"/>
        <w:numPr>
          <w:ilvl w:val="0"/>
          <w:numId w:val="11"/>
        </w:numPr>
        <w:spacing w:before="120" w:after="0" w:line="240" w:lineRule="auto"/>
        <w:ind w:left="142" w:hanging="142"/>
        <w:contextualSpacing w:val="0"/>
        <w:jc w:val="both"/>
      </w:pPr>
      <w:r w:rsidRPr="00E56C47">
        <w:t>C</w:t>
      </w:r>
      <w:r w:rsidR="007A7DDE" w:rsidRPr="00E56C47">
        <w:t>onnaissance pratique du français et de l'anglais</w:t>
      </w:r>
      <w:r w:rsidRPr="00E56C47">
        <w:t>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Disposer de techniciens experts en agronomie, agroéconomie ou économie, sociologie, statistique, base de données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Démontrer au moins (3) ans d'expérience de travail dans les études de filières ou de chaine de valeurs ;</w:t>
      </w:r>
    </w:p>
    <w:p w:rsidR="008620A2" w:rsidRPr="004149E2" w:rsidRDefault="008620A2" w:rsidP="008620A2">
      <w:pPr>
        <w:pStyle w:val="ListParagraph"/>
        <w:numPr>
          <w:ilvl w:val="0"/>
          <w:numId w:val="11"/>
        </w:numPr>
        <w:spacing w:before="120" w:after="0" w:line="240" w:lineRule="auto"/>
        <w:ind w:left="142" w:hanging="142"/>
        <w:contextualSpacing w:val="0"/>
        <w:jc w:val="both"/>
        <w:rPr>
          <w:color w:val="000000" w:themeColor="text1"/>
        </w:rPr>
      </w:pPr>
      <w:r w:rsidRPr="004149E2">
        <w:rPr>
          <w:color w:val="000000" w:themeColor="text1"/>
        </w:rPr>
        <w:t>Disposer de matériels informatiques adéquats (Android pour la collecte et la synchronisation des données, ordinateurs munis de logiciels de traitement et d’analyse) ;</w:t>
      </w:r>
    </w:p>
    <w:p w:rsidR="00F20811" w:rsidRPr="00E56C47" w:rsidRDefault="007A7DDE"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Et </w:t>
      </w:r>
      <w:r w:rsidR="00D81922" w:rsidRPr="00E56C47">
        <w:rPr>
          <w:color w:val="000000" w:themeColor="text1"/>
        </w:rPr>
        <w:t>a</w:t>
      </w:r>
      <w:r w:rsidR="00F20811" w:rsidRPr="00E56C47">
        <w:rPr>
          <w:color w:val="000000" w:themeColor="text1"/>
        </w:rPr>
        <w:t>voir la capacité de communicatio</w:t>
      </w:r>
      <w:r w:rsidRPr="00E56C47">
        <w:rPr>
          <w:color w:val="000000" w:themeColor="text1"/>
        </w:rPr>
        <w:t>n avec les acteurs du processus.</w:t>
      </w:r>
    </w:p>
    <w:p w:rsidR="00F20811" w:rsidRPr="00E56C47" w:rsidRDefault="00A41691" w:rsidP="003A7E6F">
      <w:pPr>
        <w:pStyle w:val="Heading2"/>
      </w:pPr>
      <w:r w:rsidRPr="00E56C47">
        <w:t xml:space="preserve">7.2.- </w:t>
      </w:r>
      <w:r w:rsidR="00F20811" w:rsidRPr="00E56C47">
        <w:t>Qualifications</w:t>
      </w:r>
    </w:p>
    <w:p w:rsidR="00F20811" w:rsidRPr="00E56C47" w:rsidRDefault="00F20811" w:rsidP="003A7E6F">
      <w:pPr>
        <w:spacing w:before="120" w:after="0" w:line="240" w:lineRule="auto"/>
        <w:jc w:val="both"/>
        <w:rPr>
          <w:rFonts w:eastAsia="Times New Roman" w:cs="Times New Roman"/>
          <w:color w:val="000000" w:themeColor="text1"/>
          <w:lang w:eastAsia="en-US"/>
        </w:rPr>
      </w:pPr>
      <w:r w:rsidRPr="00E56C47">
        <w:rPr>
          <w:rFonts w:eastAsia="Times New Roman" w:cs="Times New Roman"/>
          <w:color w:val="000000" w:themeColor="text1"/>
          <w:lang w:eastAsia="en-US"/>
        </w:rPr>
        <w:t>Le prestataire de services doit répondre aux exigences suivantes:</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Etre une institution nationale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lastRenderedPageBreak/>
        <w:t>Avoir un permis légal de fonctionnement issu de l’état haïtien ;</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Disposer d’un système comptable et des états financiers à jours et validés par la DGI;</w:t>
      </w:r>
    </w:p>
    <w:p w:rsidR="00F20811" w:rsidRPr="00E56C47" w:rsidRDefault="00F2081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disposer des documents légaux dont un quitus à jour suivant les lois de la République d’Haïti ;</w:t>
      </w:r>
    </w:p>
    <w:p w:rsidR="00A41691" w:rsidRPr="003A7E6F" w:rsidRDefault="000B02FB" w:rsidP="009A4DC0">
      <w:pPr>
        <w:shd w:val="clear" w:color="auto" w:fill="D9D9D9" w:themeFill="background1" w:themeFillShade="D9"/>
        <w:spacing w:before="240" w:after="0" w:line="240" w:lineRule="auto"/>
        <w:rPr>
          <w:b/>
          <w:color w:val="000000" w:themeColor="text1"/>
        </w:rPr>
      </w:pPr>
      <w:r w:rsidRPr="003A7E6F">
        <w:rPr>
          <w:b/>
          <w:color w:val="000000" w:themeColor="text1"/>
        </w:rPr>
        <w:t>8</w:t>
      </w:r>
      <w:r w:rsidR="00A41691" w:rsidRPr="003A7E6F">
        <w:rPr>
          <w:b/>
          <w:color w:val="000000" w:themeColor="text1"/>
        </w:rPr>
        <w:t>.- Critères de sélection</w:t>
      </w:r>
    </w:p>
    <w:p w:rsidR="00A41691" w:rsidRPr="00E56C47" w:rsidRDefault="00A41691" w:rsidP="003A7E6F">
      <w:pPr>
        <w:spacing w:before="120" w:after="0" w:line="240" w:lineRule="auto"/>
        <w:jc w:val="both"/>
        <w:rPr>
          <w:color w:val="000000" w:themeColor="text1"/>
        </w:rPr>
      </w:pPr>
      <w:r w:rsidRPr="00E56C47">
        <w:rPr>
          <w:color w:val="000000" w:themeColor="text1"/>
        </w:rPr>
        <w:t>Les critères ci-après seront utilisés pour analyser les offres :</w:t>
      </w:r>
    </w:p>
    <w:p w:rsidR="00E1024C" w:rsidRPr="00E56C47" w:rsidRDefault="00E1024C"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Niveau d’adéquation de la méthodologie et des outils proposés avec ce type d’étude.</w:t>
      </w:r>
    </w:p>
    <w:p w:rsidR="00C73E06" w:rsidRPr="00E56C47" w:rsidRDefault="00C73E06"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Expérience dans l’élaboration de rapports d’études en français et en anglais ;</w:t>
      </w:r>
    </w:p>
    <w:p w:rsidR="00A41691" w:rsidRPr="00E56C47" w:rsidRDefault="00A4169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Niveau d'expériences professionnelles en développement de</w:t>
      </w:r>
      <w:r w:rsidR="004D7FC7" w:rsidRPr="00E56C47">
        <w:rPr>
          <w:color w:val="000000" w:themeColor="text1"/>
        </w:rPr>
        <w:t xml:space="preserve"> chaine de valeurs ;</w:t>
      </w:r>
      <w:r w:rsidRPr="00E56C47">
        <w:rPr>
          <w:color w:val="000000" w:themeColor="text1"/>
        </w:rPr>
        <w:t> </w:t>
      </w:r>
    </w:p>
    <w:p w:rsidR="00A41691" w:rsidRPr="00E56C47" w:rsidRDefault="00A4169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Niveau d’expérience en planification stratégique</w:t>
      </w:r>
      <w:r w:rsidR="004D7FC7" w:rsidRPr="00E56C47">
        <w:rPr>
          <w:color w:val="000000" w:themeColor="text1"/>
        </w:rPr>
        <w:t xml:space="preserve"> </w:t>
      </w:r>
      <w:r w:rsidR="00E1024C" w:rsidRPr="00E56C47">
        <w:rPr>
          <w:color w:val="000000" w:themeColor="text1"/>
        </w:rPr>
        <w:t xml:space="preserve"> et la réalisation d’études</w:t>
      </w:r>
      <w:r w:rsidR="004D7FC7" w:rsidRPr="00E56C47">
        <w:rPr>
          <w:color w:val="000000" w:themeColor="text1"/>
        </w:rPr>
        <w:t xml:space="preserve"> sur le terrain</w:t>
      </w:r>
      <w:r w:rsidRPr="00E56C47">
        <w:rPr>
          <w:color w:val="000000" w:themeColor="text1"/>
        </w:rPr>
        <w:t xml:space="preserve"> ;</w:t>
      </w:r>
    </w:p>
    <w:p w:rsidR="00E56C47" w:rsidRDefault="00A4169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Capacité de dialogue et de concertation avec divers acteurs et parties prenantes d</w:t>
      </w:r>
      <w:r w:rsidR="00E1024C" w:rsidRPr="00E56C47">
        <w:rPr>
          <w:color w:val="000000" w:themeColor="text1"/>
        </w:rPr>
        <w:t xml:space="preserve">es </w:t>
      </w:r>
      <w:r w:rsidRPr="00E56C47">
        <w:rPr>
          <w:color w:val="000000" w:themeColor="text1"/>
        </w:rPr>
        <w:t>secteur</w:t>
      </w:r>
      <w:r w:rsidR="00E56C47">
        <w:rPr>
          <w:color w:val="000000" w:themeColor="text1"/>
        </w:rPr>
        <w:t xml:space="preserve">s concernés ; </w:t>
      </w:r>
    </w:p>
    <w:p w:rsidR="00A41691" w:rsidRPr="00E56C47" w:rsidRDefault="00A4169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Capacité à organiser et faciliter les ateliers de concertation d’acteurs ;</w:t>
      </w:r>
    </w:p>
    <w:p w:rsidR="00C73E06" w:rsidRPr="00E56C47" w:rsidRDefault="00C73E06"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Expériences démontrée dans la réalisation d’études de filières ou de chaines de valeur ;</w:t>
      </w:r>
    </w:p>
    <w:p w:rsidR="00A41691" w:rsidRPr="00E56C47" w:rsidRDefault="00D27F83"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Expériences </w:t>
      </w:r>
      <w:r w:rsidR="00A41691" w:rsidRPr="00E56C47">
        <w:rPr>
          <w:color w:val="000000" w:themeColor="text1"/>
        </w:rPr>
        <w:t xml:space="preserve">de travail </w:t>
      </w:r>
      <w:r w:rsidRPr="00E56C47">
        <w:rPr>
          <w:color w:val="000000" w:themeColor="text1"/>
        </w:rPr>
        <w:t>avec</w:t>
      </w:r>
      <w:r w:rsidR="00A41691" w:rsidRPr="00E56C47">
        <w:rPr>
          <w:color w:val="000000" w:themeColor="text1"/>
        </w:rPr>
        <w:t xml:space="preserve"> l'O</w:t>
      </w:r>
      <w:r w:rsidRPr="00E56C47">
        <w:rPr>
          <w:color w:val="000000" w:themeColor="text1"/>
        </w:rPr>
        <w:t>IT ou ces</w:t>
      </w:r>
      <w:r w:rsidR="00A41691" w:rsidRPr="00E56C47">
        <w:rPr>
          <w:color w:val="000000" w:themeColor="text1"/>
        </w:rPr>
        <w:t xml:space="preserve"> Partenaires externes tels que </w:t>
      </w:r>
      <w:r w:rsidRPr="00E56C47">
        <w:rPr>
          <w:color w:val="000000" w:themeColor="text1"/>
        </w:rPr>
        <w:t xml:space="preserve">l’INFP, le CNC ou les </w:t>
      </w:r>
      <w:r w:rsidR="00C73E06" w:rsidRPr="00E56C47">
        <w:rPr>
          <w:color w:val="000000" w:themeColor="text1"/>
        </w:rPr>
        <w:t xml:space="preserve">associations et coopératives des départements du Sud ou de la </w:t>
      </w:r>
      <w:r w:rsidR="00A636AB" w:rsidRPr="00E56C47">
        <w:rPr>
          <w:color w:val="000000" w:themeColor="text1"/>
        </w:rPr>
        <w:t>Grand ’Anse</w:t>
      </w:r>
      <w:r w:rsidR="00A41691" w:rsidRPr="00E56C47">
        <w:rPr>
          <w:color w:val="000000" w:themeColor="text1"/>
        </w:rPr>
        <w:t xml:space="preserve"> ;</w:t>
      </w:r>
    </w:p>
    <w:p w:rsidR="00A41691" w:rsidRPr="00E56C47" w:rsidRDefault="00D27F83"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Niveau d’information sur l</w:t>
      </w:r>
      <w:r w:rsidR="00A41691" w:rsidRPr="00E56C47">
        <w:rPr>
          <w:color w:val="000000" w:themeColor="text1"/>
        </w:rPr>
        <w:t xml:space="preserve">es procédures </w:t>
      </w:r>
      <w:r w:rsidRPr="00E56C47">
        <w:rPr>
          <w:color w:val="000000" w:themeColor="text1"/>
        </w:rPr>
        <w:t>de l’OIT</w:t>
      </w:r>
      <w:r w:rsidR="00E1024C" w:rsidRPr="00E56C47">
        <w:rPr>
          <w:color w:val="000000" w:themeColor="text1"/>
        </w:rPr>
        <w:t xml:space="preserve"> </w:t>
      </w:r>
      <w:r w:rsidR="00A41691" w:rsidRPr="00E56C47">
        <w:rPr>
          <w:color w:val="000000" w:themeColor="text1"/>
        </w:rPr>
        <w:t>;</w:t>
      </w:r>
    </w:p>
    <w:p w:rsidR="00E1024C" w:rsidRPr="00E56C47" w:rsidRDefault="00E1024C"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Niveau d’adéquation de l’offre financière avec le budget disponible.</w:t>
      </w:r>
    </w:p>
    <w:p w:rsidR="00A41691" w:rsidRPr="00E56C47" w:rsidRDefault="000B02FB" w:rsidP="009A4DC0">
      <w:pPr>
        <w:shd w:val="clear" w:color="auto" w:fill="D9D9D9" w:themeFill="background1" w:themeFillShade="D9"/>
        <w:spacing w:before="240" w:after="0" w:line="240" w:lineRule="auto"/>
        <w:rPr>
          <w:b/>
          <w:color w:val="000000" w:themeColor="text1"/>
        </w:rPr>
      </w:pPr>
      <w:r w:rsidRPr="00E56C47">
        <w:rPr>
          <w:b/>
          <w:color w:val="000000" w:themeColor="text1"/>
        </w:rPr>
        <w:t>9</w:t>
      </w:r>
      <w:r w:rsidR="00A41691" w:rsidRPr="00E56C47">
        <w:rPr>
          <w:b/>
          <w:color w:val="000000" w:themeColor="text1"/>
        </w:rPr>
        <w:t xml:space="preserve">.- </w:t>
      </w:r>
      <w:r w:rsidR="00E56C47">
        <w:rPr>
          <w:b/>
          <w:color w:val="000000" w:themeColor="text1"/>
        </w:rPr>
        <w:t>Dossier de candidature</w:t>
      </w:r>
    </w:p>
    <w:p w:rsidR="005A297A" w:rsidRPr="00E56C47" w:rsidRDefault="00E1024C" w:rsidP="003A7E6F">
      <w:pPr>
        <w:spacing w:before="120" w:after="0" w:line="240" w:lineRule="auto"/>
        <w:jc w:val="both"/>
        <w:rPr>
          <w:color w:val="000000" w:themeColor="text1"/>
        </w:rPr>
      </w:pPr>
      <w:r w:rsidRPr="00E56C47">
        <w:rPr>
          <w:color w:val="000000" w:themeColor="text1"/>
        </w:rPr>
        <w:lastRenderedPageBreak/>
        <w:t xml:space="preserve">Le dossier </w:t>
      </w:r>
      <w:r w:rsidR="005A297A" w:rsidRPr="00E56C47">
        <w:rPr>
          <w:color w:val="000000" w:themeColor="text1"/>
        </w:rPr>
        <w:t xml:space="preserve">de candidature doit </w:t>
      </w:r>
      <w:r w:rsidR="00E56C47">
        <w:rPr>
          <w:color w:val="000000" w:themeColor="text1"/>
        </w:rPr>
        <w:t>contenir</w:t>
      </w:r>
      <w:r w:rsidR="005A297A" w:rsidRPr="00E56C47">
        <w:rPr>
          <w:color w:val="000000" w:themeColor="text1"/>
        </w:rPr>
        <w:t xml:space="preserve"> : </w:t>
      </w:r>
    </w:p>
    <w:p w:rsidR="00A41691" w:rsidRPr="00E56C47" w:rsidRDefault="00C73E06"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Une offre technique incluant </w:t>
      </w:r>
      <w:r w:rsidR="00E56C47">
        <w:rPr>
          <w:color w:val="000000" w:themeColor="text1"/>
        </w:rPr>
        <w:t xml:space="preserve">la méthodologie proposée pour la réalisation du mandat et </w:t>
      </w:r>
      <w:r w:rsidRPr="00E56C47">
        <w:rPr>
          <w:color w:val="000000" w:themeColor="text1"/>
        </w:rPr>
        <w:t>le CV des consultants/consultantes engagé/es pour l’étude ;</w:t>
      </w:r>
      <w:r w:rsidR="00A41691" w:rsidRPr="00E56C47">
        <w:rPr>
          <w:color w:val="000000" w:themeColor="text1"/>
        </w:rPr>
        <w:t> </w:t>
      </w:r>
    </w:p>
    <w:p w:rsidR="00C73E06" w:rsidRPr="00E56C47" w:rsidRDefault="00C73E06"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Une offre financière détaillée</w:t>
      </w:r>
      <w:r w:rsidR="005A297A" w:rsidRPr="00E56C47">
        <w:rPr>
          <w:color w:val="000000" w:themeColor="text1"/>
        </w:rPr>
        <w:t> </w:t>
      </w:r>
      <w:r w:rsidR="00E56C47" w:rsidRPr="00E56C47">
        <w:rPr>
          <w:color w:val="000000" w:themeColor="text1"/>
        </w:rPr>
        <w:t>réalisée sur</w:t>
      </w:r>
      <w:r w:rsidR="00E56C47">
        <w:rPr>
          <w:color w:val="000000" w:themeColor="text1"/>
        </w:rPr>
        <w:t xml:space="preserve"> tableur</w:t>
      </w:r>
      <w:r w:rsidR="00E56C47" w:rsidRPr="00E56C47">
        <w:rPr>
          <w:color w:val="000000" w:themeColor="text1"/>
        </w:rPr>
        <w:t xml:space="preserve"> </w:t>
      </w:r>
      <w:r w:rsidR="000E4E88" w:rsidRPr="00E56C47">
        <w:rPr>
          <w:color w:val="000000" w:themeColor="text1"/>
        </w:rPr>
        <w:t xml:space="preserve">EXCEL </w:t>
      </w:r>
      <w:r w:rsidR="00E56C47" w:rsidRPr="00E56C47">
        <w:rPr>
          <w:color w:val="000000" w:themeColor="text1"/>
        </w:rPr>
        <w:t>et séparée de l’offre technique ;</w:t>
      </w:r>
    </w:p>
    <w:p w:rsidR="00A41691" w:rsidRDefault="00A41691" w:rsidP="003A7E6F">
      <w:pPr>
        <w:pStyle w:val="ListParagraph"/>
        <w:numPr>
          <w:ilvl w:val="0"/>
          <w:numId w:val="11"/>
        </w:numPr>
        <w:spacing w:before="120" w:after="0" w:line="240" w:lineRule="auto"/>
        <w:ind w:left="142" w:hanging="142"/>
        <w:contextualSpacing w:val="0"/>
        <w:jc w:val="both"/>
        <w:rPr>
          <w:color w:val="000000" w:themeColor="text1"/>
        </w:rPr>
      </w:pPr>
      <w:r w:rsidRPr="00E56C47">
        <w:rPr>
          <w:color w:val="000000" w:themeColor="text1"/>
        </w:rPr>
        <w:t xml:space="preserve">Une copie certifiée conforme </w:t>
      </w:r>
      <w:r w:rsidR="00C73E06" w:rsidRPr="00E56C47">
        <w:rPr>
          <w:color w:val="000000" w:themeColor="text1"/>
        </w:rPr>
        <w:t xml:space="preserve">des documents </w:t>
      </w:r>
      <w:r w:rsidR="005A297A" w:rsidRPr="00E56C47">
        <w:rPr>
          <w:color w:val="000000" w:themeColor="text1"/>
        </w:rPr>
        <w:t>légaux</w:t>
      </w:r>
      <w:r w:rsidR="004D7FC7" w:rsidRPr="00E56C47">
        <w:rPr>
          <w:color w:val="000000" w:themeColor="text1"/>
        </w:rPr>
        <w:t xml:space="preserve"> ém</w:t>
      </w:r>
      <w:r w:rsidR="00E1024C" w:rsidRPr="00E56C47">
        <w:rPr>
          <w:color w:val="000000" w:themeColor="text1"/>
        </w:rPr>
        <w:t>is</w:t>
      </w:r>
      <w:r w:rsidR="00BA688C">
        <w:rPr>
          <w:color w:val="000000" w:themeColor="text1"/>
        </w:rPr>
        <w:t xml:space="preserve"> par l’É</w:t>
      </w:r>
      <w:r w:rsidR="004D7FC7" w:rsidRPr="00E56C47">
        <w:rPr>
          <w:color w:val="000000" w:themeColor="text1"/>
        </w:rPr>
        <w:t>tat Haïtien.</w:t>
      </w:r>
    </w:p>
    <w:p w:rsidR="00F20811" w:rsidRPr="00E56C47" w:rsidRDefault="000B02FB" w:rsidP="009A4DC0">
      <w:pPr>
        <w:shd w:val="clear" w:color="auto" w:fill="D9D9D9" w:themeFill="background1" w:themeFillShade="D9"/>
        <w:spacing w:before="240" w:after="0" w:line="240" w:lineRule="auto"/>
        <w:rPr>
          <w:b/>
          <w:color w:val="000000" w:themeColor="text1"/>
        </w:rPr>
      </w:pPr>
      <w:r w:rsidRPr="00E56C47">
        <w:rPr>
          <w:b/>
          <w:color w:val="000000" w:themeColor="text1"/>
        </w:rPr>
        <w:t>10</w:t>
      </w:r>
      <w:r w:rsidR="00A41691" w:rsidRPr="00E56C47">
        <w:rPr>
          <w:b/>
          <w:color w:val="000000" w:themeColor="text1"/>
        </w:rPr>
        <w:t xml:space="preserve">.- </w:t>
      </w:r>
      <w:r w:rsidR="00E56C47">
        <w:rPr>
          <w:b/>
          <w:color w:val="000000" w:themeColor="text1"/>
        </w:rPr>
        <w:t>D</w:t>
      </w:r>
      <w:r w:rsidR="00E56C47" w:rsidRPr="00E56C47">
        <w:rPr>
          <w:b/>
          <w:color w:val="000000" w:themeColor="text1"/>
        </w:rPr>
        <w:t>élai de soumission des propositions techniques et financières</w:t>
      </w:r>
    </w:p>
    <w:p w:rsidR="00F20811" w:rsidRPr="00E56C47" w:rsidRDefault="00F20811" w:rsidP="003A7E6F">
      <w:pPr>
        <w:spacing w:before="120" w:after="0" w:line="240" w:lineRule="auto"/>
        <w:jc w:val="both"/>
        <w:rPr>
          <w:rFonts w:eastAsia="Times New Roman"/>
          <w:color w:val="000000" w:themeColor="text1"/>
        </w:rPr>
      </w:pPr>
      <w:r w:rsidRPr="00E56C47">
        <w:rPr>
          <w:rFonts w:eastAsia="Times New Roman"/>
          <w:color w:val="000000" w:themeColor="text1"/>
        </w:rPr>
        <w:t xml:space="preserve">Le délai de soumission des propositions techniques et financières est </w:t>
      </w:r>
      <w:r w:rsidR="005A297A" w:rsidRPr="00E56C47">
        <w:rPr>
          <w:rFonts w:eastAsia="Times New Roman"/>
          <w:color w:val="000000" w:themeColor="text1"/>
        </w:rPr>
        <w:t>l</w:t>
      </w:r>
      <w:r w:rsidRPr="00E56C47">
        <w:rPr>
          <w:rFonts w:eastAsia="Times New Roman"/>
          <w:color w:val="000000" w:themeColor="text1"/>
        </w:rPr>
        <w:t xml:space="preserve">e </w:t>
      </w:r>
      <w:r w:rsidR="00DC5378">
        <w:rPr>
          <w:rFonts w:eastAsia="Times New Roman"/>
          <w:color w:val="000000" w:themeColor="text1"/>
        </w:rPr>
        <w:t>18</w:t>
      </w:r>
      <w:r w:rsidRPr="00E56C47">
        <w:rPr>
          <w:rFonts w:eastAsia="Times New Roman"/>
          <w:color w:val="000000" w:themeColor="text1"/>
        </w:rPr>
        <w:t xml:space="preserve"> </w:t>
      </w:r>
      <w:r w:rsidR="006A2D8F" w:rsidRPr="00E56C47">
        <w:rPr>
          <w:rFonts w:eastAsia="Times New Roman" w:cs="Arial"/>
          <w:color w:val="000000" w:themeColor="text1"/>
          <w:lang w:eastAsia="es-PE"/>
        </w:rPr>
        <w:t>août</w:t>
      </w:r>
      <w:r w:rsidR="005A297A" w:rsidRPr="00E56C47">
        <w:rPr>
          <w:rFonts w:eastAsia="Times New Roman"/>
        </w:rPr>
        <w:t xml:space="preserve"> </w:t>
      </w:r>
      <w:r w:rsidR="00EB0BBE" w:rsidRPr="00E56C47">
        <w:rPr>
          <w:rFonts w:eastAsia="Times New Roman"/>
        </w:rPr>
        <w:t xml:space="preserve">jusqu’à </w:t>
      </w:r>
      <w:r w:rsidR="005A297A" w:rsidRPr="00E56C47">
        <w:rPr>
          <w:rFonts w:eastAsia="Times New Roman"/>
        </w:rPr>
        <w:t>23 : 59</w:t>
      </w:r>
      <w:r w:rsidRPr="00E56C47">
        <w:rPr>
          <w:rFonts w:eastAsia="Times New Roman"/>
        </w:rPr>
        <w:t xml:space="preserve">. </w:t>
      </w:r>
    </w:p>
    <w:p w:rsidR="00D27F83" w:rsidRPr="00E56C47" w:rsidRDefault="00D27F83" w:rsidP="009A4DC0">
      <w:pPr>
        <w:shd w:val="clear" w:color="auto" w:fill="D9D9D9" w:themeFill="background1" w:themeFillShade="D9"/>
        <w:spacing w:before="240" w:after="0" w:line="240" w:lineRule="auto"/>
        <w:rPr>
          <w:b/>
          <w:color w:val="000000" w:themeColor="text1"/>
        </w:rPr>
      </w:pPr>
      <w:r w:rsidRPr="00E56C47">
        <w:rPr>
          <w:b/>
          <w:color w:val="000000" w:themeColor="text1"/>
        </w:rPr>
        <w:t xml:space="preserve">11.- Dossier </w:t>
      </w:r>
      <w:r w:rsidR="005A297A" w:rsidRPr="00E56C47">
        <w:rPr>
          <w:b/>
          <w:color w:val="000000" w:themeColor="text1"/>
        </w:rPr>
        <w:t xml:space="preserve">complet </w:t>
      </w:r>
      <w:r w:rsidRPr="00E56C47">
        <w:rPr>
          <w:b/>
          <w:color w:val="000000" w:themeColor="text1"/>
        </w:rPr>
        <w:t>d’appel d’offres</w:t>
      </w:r>
    </w:p>
    <w:p w:rsidR="008620A2" w:rsidRPr="00E56C47" w:rsidRDefault="008620A2" w:rsidP="008620A2">
      <w:pPr>
        <w:spacing w:before="120" w:after="0" w:line="240" w:lineRule="auto"/>
        <w:jc w:val="both"/>
        <w:rPr>
          <w:rFonts w:eastAsia="Times New Roman"/>
          <w:color w:val="000000" w:themeColor="text1"/>
        </w:rPr>
      </w:pPr>
      <w:r w:rsidRPr="00E56C47">
        <w:rPr>
          <w:rFonts w:eastAsia="Times New Roman"/>
          <w:color w:val="000000" w:themeColor="text1"/>
        </w:rPr>
        <w:t xml:space="preserve">Pour accéder au dossier complet d’appel d’offres </w:t>
      </w:r>
      <w:hyperlink r:id="rId8" w:tgtFrame="_blank" w:history="1">
        <w:r w:rsidRPr="00E56C47">
          <w:rPr>
            <w:rFonts w:eastAsia="Times New Roman"/>
            <w:color w:val="000000" w:themeColor="text1"/>
          </w:rPr>
          <w:t>Cliquer ici</w:t>
        </w:r>
        <w:r>
          <w:rPr>
            <w:rFonts w:eastAsia="Times New Roman"/>
            <w:color w:val="000000" w:themeColor="text1"/>
          </w:rPr>
          <w:t> </w:t>
        </w:r>
      </w:hyperlink>
      <w:r>
        <w:rPr>
          <w:rFonts w:eastAsia="Times New Roman"/>
          <w:color w:val="000000" w:themeColor="text1"/>
        </w:rPr>
        <w:t>: ………………………………..</w:t>
      </w:r>
    </w:p>
    <w:p w:rsidR="009316B0" w:rsidRDefault="00D27F83" w:rsidP="009A4DC0">
      <w:pPr>
        <w:shd w:val="clear" w:color="auto" w:fill="D9D9D9" w:themeFill="background1" w:themeFillShade="D9"/>
        <w:spacing w:before="240" w:after="0" w:line="240" w:lineRule="auto"/>
        <w:rPr>
          <w:b/>
          <w:color w:val="000000" w:themeColor="text1"/>
        </w:rPr>
      </w:pPr>
      <w:r w:rsidRPr="00E56C47">
        <w:rPr>
          <w:b/>
          <w:color w:val="000000" w:themeColor="text1"/>
        </w:rPr>
        <w:t xml:space="preserve">12.- </w:t>
      </w:r>
      <w:r w:rsidR="00E1024C" w:rsidRPr="00E56C47">
        <w:rPr>
          <w:b/>
          <w:color w:val="000000" w:themeColor="text1"/>
        </w:rPr>
        <w:t xml:space="preserve">Soumission </w:t>
      </w:r>
      <w:r w:rsidR="005A297A" w:rsidRPr="00E56C47">
        <w:rPr>
          <w:b/>
          <w:color w:val="000000" w:themeColor="text1"/>
        </w:rPr>
        <w:t>des offres</w:t>
      </w:r>
    </w:p>
    <w:p w:rsidR="005A297A" w:rsidRPr="00DC5378" w:rsidRDefault="005A297A" w:rsidP="003A7E6F">
      <w:pPr>
        <w:spacing w:before="120" w:after="0" w:line="240" w:lineRule="auto"/>
        <w:rPr>
          <w:rFonts w:eastAsia="Times New Roman"/>
          <w:color w:val="000000" w:themeColor="text1"/>
        </w:rPr>
      </w:pPr>
      <w:r w:rsidRPr="00E56C47">
        <w:rPr>
          <w:rFonts w:eastAsia="Times New Roman"/>
          <w:color w:val="000000" w:themeColor="text1"/>
        </w:rPr>
        <w:t>Les propositions peuvent être adressées </w:t>
      </w:r>
      <w:r w:rsidR="00E56C47">
        <w:rPr>
          <w:rFonts w:eastAsia="Times New Roman"/>
          <w:color w:val="000000" w:themeColor="text1"/>
        </w:rPr>
        <w:t>par courrier électronique à l’adresse</w:t>
      </w:r>
      <w:r w:rsidR="00E56C47" w:rsidRPr="00E56C47">
        <w:rPr>
          <w:rFonts w:eastAsia="Times New Roman"/>
          <w:color w:val="000000" w:themeColor="text1"/>
        </w:rPr>
        <w:t> </w:t>
      </w:r>
      <w:r w:rsidRPr="00E56C47">
        <w:rPr>
          <w:rFonts w:eastAsia="Times New Roman"/>
          <w:color w:val="000000" w:themeColor="text1"/>
        </w:rPr>
        <w:t>:</w:t>
      </w:r>
      <w:r w:rsidR="00DC5378" w:rsidRPr="00DC5378">
        <w:t xml:space="preserve"> </w:t>
      </w:r>
      <w:hyperlink r:id="rId9" w:history="1">
        <w:r w:rsidR="00DC5378" w:rsidRPr="007E5F07">
          <w:rPr>
            <w:rStyle w:val="Hyperlink"/>
          </w:rPr>
          <w:t>duvaljm@ilo.org</w:t>
        </w:r>
      </w:hyperlink>
      <w:r w:rsidR="00DC5378">
        <w:rPr>
          <w:rFonts w:eastAsia="Times New Roman"/>
          <w:color w:val="000000" w:themeColor="text1"/>
        </w:rPr>
        <w:t>, e</w:t>
      </w:r>
      <w:r w:rsidRPr="00E56C47">
        <w:rPr>
          <w:rFonts w:eastAsia="Times New Roman"/>
          <w:color w:val="000000" w:themeColor="text1"/>
        </w:rPr>
        <w:t>n format PDF</w:t>
      </w:r>
      <w:r w:rsidR="00DC5378">
        <w:rPr>
          <w:rFonts w:eastAsia="Times New Roman"/>
          <w:color w:val="000000" w:themeColor="text1"/>
        </w:rPr>
        <w:t>.</w:t>
      </w:r>
    </w:p>
    <w:p w:rsidR="00DC5378" w:rsidRDefault="00DC5378" w:rsidP="009A4DC0">
      <w:pPr>
        <w:shd w:val="clear" w:color="auto" w:fill="D9D9D9" w:themeFill="background1" w:themeFillShade="D9"/>
        <w:spacing w:before="240" w:after="0" w:line="240" w:lineRule="auto"/>
        <w:rPr>
          <w:b/>
          <w:color w:val="000000" w:themeColor="text1"/>
        </w:rPr>
      </w:pPr>
      <w:r>
        <w:rPr>
          <w:b/>
          <w:color w:val="000000" w:themeColor="text1"/>
        </w:rPr>
        <w:t>12.- Comité de sélection</w:t>
      </w:r>
    </w:p>
    <w:p w:rsidR="00F20811" w:rsidRPr="00DC5378" w:rsidRDefault="00DC5378" w:rsidP="003A7E6F">
      <w:pPr>
        <w:spacing w:before="120" w:after="0" w:line="240" w:lineRule="auto"/>
        <w:jc w:val="both"/>
        <w:rPr>
          <w:rFonts w:eastAsia="Times New Roman"/>
          <w:color w:val="000000" w:themeColor="text1"/>
        </w:rPr>
      </w:pPr>
      <w:r>
        <w:rPr>
          <w:rFonts w:eastAsia="Times New Roman"/>
          <w:color w:val="000000" w:themeColor="text1"/>
        </w:rPr>
        <w:t>Un comité de</w:t>
      </w:r>
      <w:r w:rsidRPr="00DC5378">
        <w:rPr>
          <w:rFonts w:eastAsia="Times New Roman"/>
          <w:color w:val="000000" w:themeColor="text1"/>
        </w:rPr>
        <w:t xml:space="preserve"> sélection</w:t>
      </w:r>
      <w:r>
        <w:rPr>
          <w:rFonts w:eastAsia="Times New Roman"/>
          <w:color w:val="000000" w:themeColor="text1"/>
        </w:rPr>
        <w:t xml:space="preserve"> constitué de 3 cadres du FOPRODER sera en charge de l’analyse des</w:t>
      </w:r>
      <w:r w:rsidRPr="00DC5378">
        <w:rPr>
          <w:rFonts w:eastAsia="Times New Roman"/>
          <w:color w:val="000000" w:themeColor="text1"/>
        </w:rPr>
        <w:t xml:space="preserve"> offres</w:t>
      </w:r>
      <w:r>
        <w:rPr>
          <w:rFonts w:eastAsia="Times New Roman"/>
          <w:color w:val="000000" w:themeColor="text1"/>
        </w:rPr>
        <w:t xml:space="preserve"> des soumissionnaires et le bureau d’études retenu sera avisé par courrier électronique d’ici le 22 ao</w:t>
      </w:r>
      <w:r w:rsidR="00BA688C">
        <w:rPr>
          <w:rFonts w:eastAsia="Times New Roman"/>
          <w:color w:val="000000" w:themeColor="text1"/>
        </w:rPr>
        <w:t>û</w:t>
      </w:r>
      <w:r>
        <w:rPr>
          <w:rFonts w:eastAsia="Times New Roman"/>
          <w:color w:val="000000" w:themeColor="text1"/>
        </w:rPr>
        <w:t>t</w:t>
      </w:r>
      <w:r w:rsidR="00BA688C">
        <w:rPr>
          <w:rFonts w:eastAsia="Times New Roman"/>
          <w:color w:val="000000" w:themeColor="text1"/>
        </w:rPr>
        <w:t xml:space="preserve"> 2019</w:t>
      </w:r>
      <w:r>
        <w:rPr>
          <w:rFonts w:eastAsia="Times New Roman"/>
          <w:color w:val="000000" w:themeColor="text1"/>
        </w:rPr>
        <w:t xml:space="preserve">. </w:t>
      </w:r>
    </w:p>
    <w:p w:rsidR="00F20811" w:rsidRPr="00E56C47" w:rsidRDefault="00F20811" w:rsidP="003A7E6F">
      <w:pPr>
        <w:spacing w:before="120" w:after="0" w:line="240" w:lineRule="auto"/>
        <w:jc w:val="both"/>
        <w:rPr>
          <w:color w:val="000000" w:themeColor="text1"/>
        </w:rPr>
      </w:pPr>
    </w:p>
    <w:p w:rsidR="008620A2" w:rsidRDefault="008620A2" w:rsidP="008620A2">
      <w:pPr>
        <w:spacing w:before="120" w:after="0" w:line="240" w:lineRule="auto"/>
        <w:jc w:val="both"/>
        <w:rPr>
          <w:b/>
          <w:color w:val="000000" w:themeColor="text1"/>
        </w:rPr>
      </w:pPr>
      <w:r w:rsidRPr="00E56C47">
        <w:rPr>
          <w:b/>
          <w:color w:val="000000" w:themeColor="text1"/>
        </w:rPr>
        <w:t xml:space="preserve">N.B : </w:t>
      </w:r>
    </w:p>
    <w:p w:rsidR="008620A2" w:rsidRDefault="008620A2" w:rsidP="008620A2">
      <w:pPr>
        <w:spacing w:before="120" w:after="0" w:line="240" w:lineRule="auto"/>
        <w:jc w:val="both"/>
        <w:rPr>
          <w:b/>
          <w:color w:val="000000" w:themeColor="text1"/>
        </w:rPr>
      </w:pPr>
      <w:r>
        <w:rPr>
          <w:b/>
          <w:color w:val="000000" w:themeColor="text1"/>
        </w:rPr>
        <w:t xml:space="preserve">- </w:t>
      </w:r>
      <w:r w:rsidRPr="00E56C47">
        <w:rPr>
          <w:b/>
          <w:color w:val="000000" w:themeColor="text1"/>
        </w:rPr>
        <w:t>Les dossiers in</w:t>
      </w:r>
      <w:r>
        <w:rPr>
          <w:b/>
          <w:color w:val="000000" w:themeColor="text1"/>
        </w:rPr>
        <w:t>complets ne seront pas examinés ;</w:t>
      </w:r>
    </w:p>
    <w:p w:rsidR="008620A2" w:rsidRDefault="008620A2" w:rsidP="008620A2">
      <w:pPr>
        <w:spacing w:before="120" w:after="0" w:line="240" w:lineRule="auto"/>
        <w:jc w:val="both"/>
        <w:rPr>
          <w:b/>
          <w:color w:val="000000" w:themeColor="text1"/>
        </w:rPr>
      </w:pPr>
      <w:r>
        <w:rPr>
          <w:b/>
          <w:color w:val="000000" w:themeColor="text1"/>
        </w:rPr>
        <w:t>- L’</w:t>
      </w:r>
      <w:r w:rsidRPr="00484A99">
        <w:rPr>
          <w:b/>
          <w:color w:val="000000" w:themeColor="text1"/>
        </w:rPr>
        <w:t>offre financière ne pourra pas inclure l’achat de matériels</w:t>
      </w:r>
      <w:r>
        <w:rPr>
          <w:b/>
          <w:color w:val="000000" w:themeColor="text1"/>
        </w:rPr>
        <w:t>.</w:t>
      </w:r>
    </w:p>
    <w:p w:rsidR="00F20811" w:rsidRPr="00E56C47" w:rsidRDefault="00F20811" w:rsidP="003A7E6F">
      <w:pPr>
        <w:spacing w:before="120" w:after="0" w:line="240" w:lineRule="auto"/>
        <w:jc w:val="both"/>
        <w:rPr>
          <w:color w:val="000000" w:themeColor="text1"/>
        </w:rPr>
      </w:pPr>
    </w:p>
    <w:p w:rsidR="00F20811" w:rsidRPr="00E56C47" w:rsidRDefault="00F20811" w:rsidP="003A7E6F">
      <w:pPr>
        <w:pStyle w:val="Default"/>
        <w:spacing w:before="120"/>
        <w:jc w:val="both"/>
        <w:rPr>
          <w:rFonts w:asciiTheme="minorHAnsi" w:hAnsiTheme="minorHAnsi" w:cstheme="minorBidi"/>
          <w:color w:val="000000" w:themeColor="text1"/>
          <w:sz w:val="22"/>
          <w:szCs w:val="22"/>
          <w:lang w:val="fr-FR"/>
        </w:rPr>
      </w:pPr>
    </w:p>
    <w:p w:rsidR="003A7E6F" w:rsidRDefault="003A7E6F" w:rsidP="003A7E6F">
      <w:pPr>
        <w:spacing w:before="120" w:after="0" w:line="240" w:lineRule="auto"/>
        <w:jc w:val="both"/>
        <w:rPr>
          <w:color w:val="000000" w:themeColor="text1"/>
        </w:rPr>
      </w:pPr>
    </w:p>
    <w:p w:rsidR="003A7E6F" w:rsidRPr="003A7E6F" w:rsidRDefault="003A7E6F" w:rsidP="003A7E6F"/>
    <w:p w:rsidR="003A7E6F" w:rsidRPr="003A7E6F" w:rsidRDefault="003A7E6F" w:rsidP="003A7E6F"/>
    <w:p w:rsidR="003A7E6F" w:rsidRPr="003A7E6F" w:rsidRDefault="003A7E6F" w:rsidP="003A7E6F"/>
    <w:p w:rsidR="00F20811" w:rsidRPr="003A7E6F" w:rsidRDefault="00F20811" w:rsidP="003A7E6F">
      <w:pPr>
        <w:ind w:firstLine="720"/>
      </w:pPr>
    </w:p>
    <w:sectPr w:rsidR="00F20811" w:rsidRPr="003A7E6F" w:rsidSect="003A7E6F">
      <w:headerReference w:type="default" r:id="rId10"/>
      <w:footerReference w:type="default" r:id="rId11"/>
      <w:pgSz w:w="12240" w:h="15840"/>
      <w:pgMar w:top="1077" w:right="1077" w:bottom="1077" w:left="1077" w:header="51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93" w:rsidRDefault="002E1793" w:rsidP="00EB51E0">
      <w:pPr>
        <w:spacing w:after="0" w:line="240" w:lineRule="auto"/>
      </w:pPr>
      <w:r>
        <w:separator/>
      </w:r>
    </w:p>
  </w:endnote>
  <w:endnote w:type="continuationSeparator" w:id="0">
    <w:p w:rsidR="002E1793" w:rsidRDefault="002E1793" w:rsidP="00EB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
    <w:panose1 w:val="00000000000000000000"/>
    <w:charset w:val="00"/>
    <w:family w:val="auto"/>
    <w:notTrueType/>
    <w:pitch w:val="default"/>
    <w:sig w:usb0="00000003" w:usb1="00000000" w:usb2="00000000" w:usb3="00000000" w:csb0="00000001" w:csb1="00000000"/>
  </w:font>
  <w:font w:name="TradeGothicL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512180"/>
      <w:docPartObj>
        <w:docPartGallery w:val="Page Numbers (Bottom of Page)"/>
        <w:docPartUnique/>
      </w:docPartObj>
    </w:sdtPr>
    <w:sdtEndPr>
      <w:rPr>
        <w:noProof/>
      </w:rPr>
    </w:sdtEndPr>
    <w:sdtContent>
      <w:p w:rsidR="009316B0" w:rsidRPr="009316B0" w:rsidRDefault="009316B0" w:rsidP="003A7E6F">
        <w:pPr>
          <w:pBdr>
            <w:top w:val="single" w:sz="4" w:space="1" w:color="auto"/>
          </w:pBdr>
          <w:tabs>
            <w:tab w:val="center" w:pos="4550"/>
            <w:tab w:val="left" w:pos="5818"/>
          </w:tabs>
          <w:spacing w:after="0"/>
          <w:ind w:right="260"/>
          <w:rPr>
            <w:sz w:val="10"/>
            <w:szCs w:val="10"/>
          </w:rPr>
        </w:pPr>
        <w:r w:rsidRPr="009316B0">
          <w:rPr>
            <w:spacing w:val="60"/>
            <w:sz w:val="10"/>
            <w:szCs w:val="10"/>
          </w:rPr>
          <w:t>TDR pour Etudes Chaine de valeurs : Cacao, Fruit à pain, Noix de cajou, Ricin                 Page</w:t>
        </w:r>
        <w:r w:rsidRPr="009316B0">
          <w:rPr>
            <w:sz w:val="10"/>
            <w:szCs w:val="10"/>
          </w:rPr>
          <w:t xml:space="preserve"> </w:t>
        </w:r>
        <w:r w:rsidRPr="009316B0">
          <w:rPr>
            <w:sz w:val="10"/>
            <w:szCs w:val="10"/>
          </w:rPr>
          <w:fldChar w:fldCharType="begin"/>
        </w:r>
        <w:r w:rsidRPr="009316B0">
          <w:rPr>
            <w:sz w:val="10"/>
            <w:szCs w:val="10"/>
          </w:rPr>
          <w:instrText xml:space="preserve"> PAGE   \* MERGEFORMAT </w:instrText>
        </w:r>
        <w:r w:rsidRPr="009316B0">
          <w:rPr>
            <w:sz w:val="10"/>
            <w:szCs w:val="10"/>
          </w:rPr>
          <w:fldChar w:fldCharType="separate"/>
        </w:r>
        <w:r w:rsidR="00E525A9">
          <w:rPr>
            <w:noProof/>
            <w:sz w:val="10"/>
            <w:szCs w:val="10"/>
          </w:rPr>
          <w:t>1</w:t>
        </w:r>
        <w:r w:rsidRPr="009316B0">
          <w:rPr>
            <w:sz w:val="10"/>
            <w:szCs w:val="10"/>
          </w:rPr>
          <w:fldChar w:fldCharType="end"/>
        </w:r>
      </w:p>
      <w:p w:rsidR="009316B0" w:rsidRPr="009316B0" w:rsidRDefault="002E1793" w:rsidP="009316B0">
        <w:pPr>
          <w:tabs>
            <w:tab w:val="center" w:pos="4680"/>
            <w:tab w:val="right" w:pos="9360"/>
          </w:tabs>
          <w:spacing w:after="0" w:line="240" w:lineRule="auto"/>
          <w:jc w:val="right"/>
          <w:rPr>
            <w:noProof/>
          </w:rPr>
        </w:pPr>
      </w:p>
    </w:sdtContent>
  </w:sdt>
  <w:p w:rsidR="00283676" w:rsidRPr="009316B0" w:rsidRDefault="00283676" w:rsidP="0093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93" w:rsidRDefault="002E1793" w:rsidP="00EB51E0">
      <w:pPr>
        <w:spacing w:after="0" w:line="240" w:lineRule="auto"/>
      </w:pPr>
      <w:r>
        <w:separator/>
      </w:r>
    </w:p>
  </w:footnote>
  <w:footnote w:type="continuationSeparator" w:id="0">
    <w:p w:rsidR="002E1793" w:rsidRDefault="002E1793" w:rsidP="00EB5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76" w:rsidRDefault="00283676" w:rsidP="00B66DDC">
    <w:pPr>
      <w:pStyle w:val="Header"/>
      <w:pBdr>
        <w:bottom w:val="single" w:sz="4" w:space="1" w:color="auto"/>
      </w:pBdr>
      <w:rPr>
        <w:b/>
        <w:sz w:val="20"/>
        <w:szCs w:val="20"/>
      </w:rPr>
    </w:pPr>
    <w:r>
      <w:rPr>
        <w:b/>
        <w:noProof/>
        <w:sz w:val="20"/>
        <w:szCs w:val="20"/>
        <w:lang w:val="en-US" w:eastAsia="en-US"/>
      </w:rPr>
      <w:drawing>
        <wp:anchor distT="0" distB="0" distL="114300" distR="114300" simplePos="0" relativeHeight="251658240" behindDoc="0" locked="0" layoutInCell="1" allowOverlap="1" wp14:anchorId="597343EE" wp14:editId="3601E258">
          <wp:simplePos x="0" y="0"/>
          <wp:positionH relativeFrom="column">
            <wp:posOffset>4826000</wp:posOffset>
          </wp:positionH>
          <wp:positionV relativeFrom="paragraph">
            <wp:posOffset>9525</wp:posOffset>
          </wp:positionV>
          <wp:extent cx="1005840" cy="44513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45135"/>
                  </a:xfrm>
                  <a:prstGeom prst="rect">
                    <a:avLst/>
                  </a:prstGeom>
                  <a:noFill/>
                </pic:spPr>
              </pic:pic>
            </a:graphicData>
          </a:graphic>
          <wp14:sizeRelH relativeFrom="page">
            <wp14:pctWidth>0</wp14:pctWidth>
          </wp14:sizeRelH>
          <wp14:sizeRelV relativeFrom="page">
            <wp14:pctHeight>0</wp14:pctHeight>
          </wp14:sizeRelV>
        </wp:anchor>
      </w:drawing>
    </w:r>
    <w:r w:rsidRPr="00965ED2">
      <w:rPr>
        <w:b/>
        <w:sz w:val="20"/>
        <w:szCs w:val="20"/>
      </w:rPr>
      <w:t>Projet de formation professionnelle</w:t>
    </w:r>
    <w:r>
      <w:rPr>
        <w:b/>
        <w:sz w:val="20"/>
        <w:szCs w:val="20"/>
      </w:rPr>
      <w:t xml:space="preserve"> </w:t>
    </w:r>
    <w:r w:rsidRPr="00965ED2">
      <w:rPr>
        <w:b/>
        <w:sz w:val="20"/>
        <w:szCs w:val="20"/>
      </w:rPr>
      <w:t>pour le développement r</w:t>
    </w:r>
    <w:r>
      <w:rPr>
        <w:b/>
        <w:sz w:val="20"/>
        <w:szCs w:val="20"/>
      </w:rPr>
      <w:t>ural</w:t>
    </w:r>
  </w:p>
  <w:p w:rsidR="00283676" w:rsidRPr="00965ED2" w:rsidRDefault="00283676" w:rsidP="00B66DDC">
    <w:pPr>
      <w:pStyle w:val="Header"/>
      <w:pBdr>
        <w:bottom w:val="single" w:sz="4" w:space="1" w:color="auto"/>
      </w:pBdr>
      <w:rPr>
        <w:b/>
        <w:sz w:val="20"/>
        <w:szCs w:val="20"/>
      </w:rPr>
    </w:pPr>
    <w:r w:rsidRPr="00965ED2">
      <w:rPr>
        <w:b/>
        <w:sz w:val="20"/>
        <w:szCs w:val="20"/>
      </w:rPr>
      <w:t>FOPRODER</w:t>
    </w:r>
  </w:p>
  <w:p w:rsidR="00283676" w:rsidRPr="009316B0" w:rsidRDefault="009316B0" w:rsidP="00965ED2">
    <w:pPr>
      <w:pStyle w:val="Header"/>
      <w:pBdr>
        <w:bottom w:val="single" w:sz="4" w:space="1" w:color="auto"/>
      </w:pBdr>
      <w:jc w:val="both"/>
      <w:rPr>
        <w:sz w:val="20"/>
        <w:szCs w:val="20"/>
      </w:rPr>
    </w:pPr>
    <w:r w:rsidRPr="009316B0">
      <w:rPr>
        <w:spacing w:val="60"/>
        <w:sz w:val="20"/>
        <w:szCs w:val="20"/>
      </w:rPr>
      <w:t>Activité 10</w:t>
    </w:r>
  </w:p>
  <w:p w:rsidR="009316B0" w:rsidRDefault="009316B0" w:rsidP="00965ED2">
    <w:pPr>
      <w:pStyle w:val="Header"/>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F9E0D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1E1AA2"/>
    <w:multiLevelType w:val="hybridMultilevel"/>
    <w:tmpl w:val="C772F502"/>
    <w:lvl w:ilvl="0" w:tplc="08090005">
      <w:start w:val="1"/>
      <w:numFmt w:val="bullet"/>
      <w:lvlText w:val=""/>
      <w:lvlJc w:val="left"/>
      <w:pPr>
        <w:ind w:left="766" w:hanging="360"/>
      </w:pPr>
      <w:rPr>
        <w:rFonts w:ascii="Wingdings" w:hAnsi="Wingdings" w:hint="default"/>
      </w:rPr>
    </w:lvl>
    <w:lvl w:ilvl="1" w:tplc="F51A8DE8">
      <w:numFmt w:val="bullet"/>
      <w:lvlText w:val="•"/>
      <w:lvlJc w:val="left"/>
      <w:pPr>
        <w:ind w:left="1591" w:hanging="465"/>
      </w:pPr>
      <w:rPr>
        <w:rFonts w:ascii="Calibri" w:eastAsiaTheme="minorEastAsia" w:hAnsi="Calibri" w:cstheme="minorBid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nsid w:val="16E741B3"/>
    <w:multiLevelType w:val="hybridMultilevel"/>
    <w:tmpl w:val="66C2A29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387499"/>
    <w:multiLevelType w:val="hybridMultilevel"/>
    <w:tmpl w:val="A104C152"/>
    <w:lvl w:ilvl="0" w:tplc="08090003">
      <w:start w:val="1"/>
      <w:numFmt w:val="bullet"/>
      <w:lvlText w:val="o"/>
      <w:lvlJc w:val="left"/>
      <w:pPr>
        <w:ind w:left="1004" w:hanging="360"/>
      </w:pPr>
      <w:rPr>
        <w:rFonts w:ascii="Courier New" w:hAnsi="Courier New" w:cs="Courier New" w:hint="default"/>
      </w:rPr>
    </w:lvl>
    <w:lvl w:ilvl="1" w:tplc="0809000D">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25D0839"/>
    <w:multiLevelType w:val="hybridMultilevel"/>
    <w:tmpl w:val="6BA4D07A"/>
    <w:lvl w:ilvl="0" w:tplc="08090005">
      <w:start w:val="1"/>
      <w:numFmt w:val="bullet"/>
      <w:lvlText w:val=""/>
      <w:lvlJc w:val="left"/>
      <w:pPr>
        <w:ind w:left="766" w:hanging="360"/>
      </w:pPr>
      <w:rPr>
        <w:rFonts w:ascii="Wingdings" w:hAnsi="Wingdings" w:hint="default"/>
      </w:rPr>
    </w:lvl>
    <w:lvl w:ilvl="1" w:tplc="F51A8DE8">
      <w:numFmt w:val="bullet"/>
      <w:lvlText w:val="•"/>
      <w:lvlJc w:val="left"/>
      <w:pPr>
        <w:ind w:left="1591" w:hanging="465"/>
      </w:pPr>
      <w:rPr>
        <w:rFonts w:ascii="Calibri" w:eastAsiaTheme="minorEastAsia" w:hAnsi="Calibri" w:cstheme="minorBid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nsid w:val="283403DE"/>
    <w:multiLevelType w:val="hybridMultilevel"/>
    <w:tmpl w:val="2FFC5C7C"/>
    <w:lvl w:ilvl="0" w:tplc="08090005">
      <w:start w:val="1"/>
      <w:numFmt w:val="bullet"/>
      <w:lvlText w:val=""/>
      <w:lvlJc w:val="left"/>
      <w:pPr>
        <w:ind w:left="766" w:hanging="360"/>
      </w:pPr>
      <w:rPr>
        <w:rFonts w:ascii="Wingdings" w:hAnsi="Wingdings" w:hint="default"/>
      </w:rPr>
    </w:lvl>
    <w:lvl w:ilvl="1" w:tplc="F51A8DE8">
      <w:numFmt w:val="bullet"/>
      <w:lvlText w:val="•"/>
      <w:lvlJc w:val="left"/>
      <w:pPr>
        <w:ind w:left="1591" w:hanging="465"/>
      </w:pPr>
      <w:rPr>
        <w:rFonts w:ascii="Calibri" w:eastAsiaTheme="minorEastAsia" w:hAnsi="Calibri" w:cstheme="minorBid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nsid w:val="297470DE"/>
    <w:multiLevelType w:val="multilevel"/>
    <w:tmpl w:val="F0523408"/>
    <w:lvl w:ilvl="0">
      <w:start w:val="1"/>
      <w:numFmt w:val="decimal"/>
      <w:pStyle w:val="Heading1"/>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2A71AE"/>
    <w:multiLevelType w:val="hybridMultilevel"/>
    <w:tmpl w:val="D99E38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6D6579"/>
    <w:multiLevelType w:val="hybridMultilevel"/>
    <w:tmpl w:val="24B0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BE7DB3"/>
    <w:multiLevelType w:val="hybridMultilevel"/>
    <w:tmpl w:val="FBB286B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F7E86"/>
    <w:multiLevelType w:val="hybridMultilevel"/>
    <w:tmpl w:val="5C06C93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CB45BF7"/>
    <w:multiLevelType w:val="hybridMultilevel"/>
    <w:tmpl w:val="D7821BB6"/>
    <w:lvl w:ilvl="0" w:tplc="08090005">
      <w:start w:val="1"/>
      <w:numFmt w:val="bullet"/>
      <w:lvlText w:val=""/>
      <w:lvlJc w:val="left"/>
      <w:pPr>
        <w:ind w:left="766" w:hanging="360"/>
      </w:pPr>
      <w:rPr>
        <w:rFonts w:ascii="Wingdings" w:hAnsi="Wingdings" w:hint="default"/>
      </w:rPr>
    </w:lvl>
    <w:lvl w:ilvl="1" w:tplc="F51A8DE8">
      <w:numFmt w:val="bullet"/>
      <w:lvlText w:val="•"/>
      <w:lvlJc w:val="left"/>
      <w:pPr>
        <w:ind w:left="1591" w:hanging="465"/>
      </w:pPr>
      <w:rPr>
        <w:rFonts w:ascii="Calibri" w:eastAsiaTheme="minorEastAsia" w:hAnsi="Calibri" w:cstheme="minorBid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nsid w:val="4EE160CA"/>
    <w:multiLevelType w:val="multilevel"/>
    <w:tmpl w:val="BDA632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BE7607"/>
    <w:multiLevelType w:val="hybridMultilevel"/>
    <w:tmpl w:val="6514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B44DB0"/>
    <w:multiLevelType w:val="hybridMultilevel"/>
    <w:tmpl w:val="5802A730"/>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5CCE174B"/>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A00A5F"/>
    <w:multiLevelType w:val="hybridMultilevel"/>
    <w:tmpl w:val="1302B4C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F7432"/>
    <w:multiLevelType w:val="hybridMultilevel"/>
    <w:tmpl w:val="EA72CA5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20E13"/>
    <w:multiLevelType w:val="hybridMultilevel"/>
    <w:tmpl w:val="3BEADA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70033A7"/>
    <w:multiLevelType w:val="hybridMultilevel"/>
    <w:tmpl w:val="A69A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43B19"/>
    <w:multiLevelType w:val="hybridMultilevel"/>
    <w:tmpl w:val="3D7C3A36"/>
    <w:lvl w:ilvl="0" w:tplc="F2CE48E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9"/>
  </w:num>
  <w:num w:numId="5">
    <w:abstractNumId w:val="17"/>
  </w:num>
  <w:num w:numId="6">
    <w:abstractNumId w:val="16"/>
  </w:num>
  <w:num w:numId="7">
    <w:abstractNumId w:val="10"/>
  </w:num>
  <w:num w:numId="8">
    <w:abstractNumId w:val="7"/>
  </w:num>
  <w:num w:numId="9">
    <w:abstractNumId w:val="14"/>
  </w:num>
  <w:num w:numId="10">
    <w:abstractNumId w:val="12"/>
  </w:num>
  <w:num w:numId="11">
    <w:abstractNumId w:val="11"/>
  </w:num>
  <w:num w:numId="12">
    <w:abstractNumId w:val="1"/>
  </w:num>
  <w:num w:numId="13">
    <w:abstractNumId w:val="3"/>
  </w:num>
  <w:num w:numId="14">
    <w:abstractNumId w:val="4"/>
  </w:num>
  <w:num w:numId="15">
    <w:abstractNumId w:val="2"/>
  </w:num>
  <w:num w:numId="16">
    <w:abstractNumId w:val="5"/>
  </w:num>
  <w:num w:numId="17">
    <w:abstractNumId w:val="18"/>
  </w:num>
  <w:num w:numId="18">
    <w:abstractNumId w:val="15"/>
  </w:num>
  <w:num w:numId="19">
    <w:abstractNumId w:val="8"/>
  </w:num>
  <w:num w:numId="20">
    <w:abstractNumId w:val="20"/>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E0"/>
    <w:rsid w:val="00002A40"/>
    <w:rsid w:val="00002EA6"/>
    <w:rsid w:val="00003FAC"/>
    <w:rsid w:val="00004E37"/>
    <w:rsid w:val="00004FD7"/>
    <w:rsid w:val="00005A43"/>
    <w:rsid w:val="00006204"/>
    <w:rsid w:val="00007688"/>
    <w:rsid w:val="000112FC"/>
    <w:rsid w:val="00012110"/>
    <w:rsid w:val="00014144"/>
    <w:rsid w:val="00014BCD"/>
    <w:rsid w:val="0001590C"/>
    <w:rsid w:val="00016337"/>
    <w:rsid w:val="00022AC9"/>
    <w:rsid w:val="000231F0"/>
    <w:rsid w:val="00024A05"/>
    <w:rsid w:val="00025453"/>
    <w:rsid w:val="00030357"/>
    <w:rsid w:val="0003357D"/>
    <w:rsid w:val="00035310"/>
    <w:rsid w:val="00036614"/>
    <w:rsid w:val="00041C51"/>
    <w:rsid w:val="00042342"/>
    <w:rsid w:val="0004318C"/>
    <w:rsid w:val="0004354C"/>
    <w:rsid w:val="00044286"/>
    <w:rsid w:val="000446CA"/>
    <w:rsid w:val="000459E3"/>
    <w:rsid w:val="00050A12"/>
    <w:rsid w:val="000521F9"/>
    <w:rsid w:val="00052971"/>
    <w:rsid w:val="00053714"/>
    <w:rsid w:val="00056C06"/>
    <w:rsid w:val="00056CED"/>
    <w:rsid w:val="00057971"/>
    <w:rsid w:val="00060C97"/>
    <w:rsid w:val="00060E3B"/>
    <w:rsid w:val="000625DE"/>
    <w:rsid w:val="00062EE7"/>
    <w:rsid w:val="00072BB5"/>
    <w:rsid w:val="000746C0"/>
    <w:rsid w:val="0007488D"/>
    <w:rsid w:val="00075913"/>
    <w:rsid w:val="000759E1"/>
    <w:rsid w:val="00076187"/>
    <w:rsid w:val="00076862"/>
    <w:rsid w:val="00083A16"/>
    <w:rsid w:val="000841EB"/>
    <w:rsid w:val="000860D2"/>
    <w:rsid w:val="00091F2E"/>
    <w:rsid w:val="000923B8"/>
    <w:rsid w:val="0009272F"/>
    <w:rsid w:val="00093EEF"/>
    <w:rsid w:val="000A165B"/>
    <w:rsid w:val="000A1D1A"/>
    <w:rsid w:val="000A3A63"/>
    <w:rsid w:val="000A5490"/>
    <w:rsid w:val="000A67E8"/>
    <w:rsid w:val="000A790B"/>
    <w:rsid w:val="000B02FB"/>
    <w:rsid w:val="000B1A5D"/>
    <w:rsid w:val="000B31A5"/>
    <w:rsid w:val="000B4015"/>
    <w:rsid w:val="000B4496"/>
    <w:rsid w:val="000B59F9"/>
    <w:rsid w:val="000B5C92"/>
    <w:rsid w:val="000B67DC"/>
    <w:rsid w:val="000C00A9"/>
    <w:rsid w:val="000C02E5"/>
    <w:rsid w:val="000C1F9B"/>
    <w:rsid w:val="000C2AFC"/>
    <w:rsid w:val="000C3ADF"/>
    <w:rsid w:val="000C41F5"/>
    <w:rsid w:val="000C4A06"/>
    <w:rsid w:val="000C5AF0"/>
    <w:rsid w:val="000C6965"/>
    <w:rsid w:val="000C6B92"/>
    <w:rsid w:val="000C71FA"/>
    <w:rsid w:val="000C7EB2"/>
    <w:rsid w:val="000D0DDB"/>
    <w:rsid w:val="000D2000"/>
    <w:rsid w:val="000D39A7"/>
    <w:rsid w:val="000E171D"/>
    <w:rsid w:val="000E1DFB"/>
    <w:rsid w:val="000E2A81"/>
    <w:rsid w:val="000E3607"/>
    <w:rsid w:val="000E372D"/>
    <w:rsid w:val="000E3CBD"/>
    <w:rsid w:val="000E4E88"/>
    <w:rsid w:val="000E4EB5"/>
    <w:rsid w:val="000E6920"/>
    <w:rsid w:val="000E6EC5"/>
    <w:rsid w:val="000F0944"/>
    <w:rsid w:val="000F274C"/>
    <w:rsid w:val="000F4CE1"/>
    <w:rsid w:val="000F5452"/>
    <w:rsid w:val="000F63A8"/>
    <w:rsid w:val="000F6B20"/>
    <w:rsid w:val="000F7973"/>
    <w:rsid w:val="001018D8"/>
    <w:rsid w:val="0010517C"/>
    <w:rsid w:val="001053D4"/>
    <w:rsid w:val="001066E0"/>
    <w:rsid w:val="00110198"/>
    <w:rsid w:val="0011020C"/>
    <w:rsid w:val="00112FE9"/>
    <w:rsid w:val="00120E97"/>
    <w:rsid w:val="00122D6A"/>
    <w:rsid w:val="001235A3"/>
    <w:rsid w:val="0012376D"/>
    <w:rsid w:val="001243BB"/>
    <w:rsid w:val="001253DC"/>
    <w:rsid w:val="001308D9"/>
    <w:rsid w:val="00132456"/>
    <w:rsid w:val="00133C3C"/>
    <w:rsid w:val="00134147"/>
    <w:rsid w:val="00134DDD"/>
    <w:rsid w:val="00135190"/>
    <w:rsid w:val="00135990"/>
    <w:rsid w:val="00136111"/>
    <w:rsid w:val="001375E8"/>
    <w:rsid w:val="001403DD"/>
    <w:rsid w:val="0014197C"/>
    <w:rsid w:val="001421BC"/>
    <w:rsid w:val="0014246E"/>
    <w:rsid w:val="00142864"/>
    <w:rsid w:val="00145611"/>
    <w:rsid w:val="00145F32"/>
    <w:rsid w:val="00146079"/>
    <w:rsid w:val="001507C1"/>
    <w:rsid w:val="001539DD"/>
    <w:rsid w:val="001575B7"/>
    <w:rsid w:val="00157F9B"/>
    <w:rsid w:val="001601FC"/>
    <w:rsid w:val="00161634"/>
    <w:rsid w:val="001643C4"/>
    <w:rsid w:val="00165514"/>
    <w:rsid w:val="0016590A"/>
    <w:rsid w:val="0016673B"/>
    <w:rsid w:val="001700E4"/>
    <w:rsid w:val="00174C47"/>
    <w:rsid w:val="001759A4"/>
    <w:rsid w:val="00177323"/>
    <w:rsid w:val="00180074"/>
    <w:rsid w:val="00182081"/>
    <w:rsid w:val="00182171"/>
    <w:rsid w:val="001839A1"/>
    <w:rsid w:val="00184137"/>
    <w:rsid w:val="00184372"/>
    <w:rsid w:val="0018524B"/>
    <w:rsid w:val="0018788C"/>
    <w:rsid w:val="00191D7D"/>
    <w:rsid w:val="00192549"/>
    <w:rsid w:val="001933E5"/>
    <w:rsid w:val="00194263"/>
    <w:rsid w:val="00196205"/>
    <w:rsid w:val="00197858"/>
    <w:rsid w:val="001A5892"/>
    <w:rsid w:val="001A58E8"/>
    <w:rsid w:val="001A697A"/>
    <w:rsid w:val="001B0DF2"/>
    <w:rsid w:val="001B1E76"/>
    <w:rsid w:val="001B2816"/>
    <w:rsid w:val="001B3BA9"/>
    <w:rsid w:val="001B637C"/>
    <w:rsid w:val="001C1B02"/>
    <w:rsid w:val="001C1F10"/>
    <w:rsid w:val="001C29FF"/>
    <w:rsid w:val="001C4DF2"/>
    <w:rsid w:val="001C5127"/>
    <w:rsid w:val="001C67AB"/>
    <w:rsid w:val="001C6E8B"/>
    <w:rsid w:val="001C732B"/>
    <w:rsid w:val="001D14E2"/>
    <w:rsid w:val="001D348A"/>
    <w:rsid w:val="001D3D45"/>
    <w:rsid w:val="001D4228"/>
    <w:rsid w:val="001D65C7"/>
    <w:rsid w:val="001D6D3E"/>
    <w:rsid w:val="001D70F3"/>
    <w:rsid w:val="001D754B"/>
    <w:rsid w:val="001E010F"/>
    <w:rsid w:val="001E2056"/>
    <w:rsid w:val="001E2CE9"/>
    <w:rsid w:val="001E488C"/>
    <w:rsid w:val="001E4E90"/>
    <w:rsid w:val="001E7FB2"/>
    <w:rsid w:val="001F0343"/>
    <w:rsid w:val="001F0BDA"/>
    <w:rsid w:val="001F2F74"/>
    <w:rsid w:val="001F313E"/>
    <w:rsid w:val="001F3938"/>
    <w:rsid w:val="001F4058"/>
    <w:rsid w:val="001F4857"/>
    <w:rsid w:val="001F582F"/>
    <w:rsid w:val="001F6D15"/>
    <w:rsid w:val="001F6E26"/>
    <w:rsid w:val="001F75D6"/>
    <w:rsid w:val="00200D79"/>
    <w:rsid w:val="00201707"/>
    <w:rsid w:val="00205F14"/>
    <w:rsid w:val="00206357"/>
    <w:rsid w:val="00207E16"/>
    <w:rsid w:val="0021001F"/>
    <w:rsid w:val="00210079"/>
    <w:rsid w:val="002103B1"/>
    <w:rsid w:val="00210E2D"/>
    <w:rsid w:val="00211178"/>
    <w:rsid w:val="0021235A"/>
    <w:rsid w:val="002129C6"/>
    <w:rsid w:val="00215D9C"/>
    <w:rsid w:val="00216423"/>
    <w:rsid w:val="00217096"/>
    <w:rsid w:val="00217E21"/>
    <w:rsid w:val="00224A8C"/>
    <w:rsid w:val="00226C35"/>
    <w:rsid w:val="00226F12"/>
    <w:rsid w:val="00226FF1"/>
    <w:rsid w:val="00227731"/>
    <w:rsid w:val="002360EB"/>
    <w:rsid w:val="0023671D"/>
    <w:rsid w:val="00236E47"/>
    <w:rsid w:val="00236EBF"/>
    <w:rsid w:val="0024061B"/>
    <w:rsid w:val="0024126B"/>
    <w:rsid w:val="002424DA"/>
    <w:rsid w:val="00242B96"/>
    <w:rsid w:val="00243001"/>
    <w:rsid w:val="00244593"/>
    <w:rsid w:val="002445A5"/>
    <w:rsid w:val="00244A26"/>
    <w:rsid w:val="00245A44"/>
    <w:rsid w:val="002465BF"/>
    <w:rsid w:val="002473E1"/>
    <w:rsid w:val="00251F9C"/>
    <w:rsid w:val="00252529"/>
    <w:rsid w:val="00252DC1"/>
    <w:rsid w:val="002532F4"/>
    <w:rsid w:val="00255E2D"/>
    <w:rsid w:val="00257F0D"/>
    <w:rsid w:val="0026009B"/>
    <w:rsid w:val="002613ED"/>
    <w:rsid w:val="0026189F"/>
    <w:rsid w:val="00265098"/>
    <w:rsid w:val="002731D4"/>
    <w:rsid w:val="00273F7B"/>
    <w:rsid w:val="002748CC"/>
    <w:rsid w:val="0027554D"/>
    <w:rsid w:val="002761C7"/>
    <w:rsid w:val="00277808"/>
    <w:rsid w:val="00281013"/>
    <w:rsid w:val="00281B9A"/>
    <w:rsid w:val="00283676"/>
    <w:rsid w:val="00283F10"/>
    <w:rsid w:val="0028448A"/>
    <w:rsid w:val="00285723"/>
    <w:rsid w:val="00286EBE"/>
    <w:rsid w:val="00286FD7"/>
    <w:rsid w:val="002870B3"/>
    <w:rsid w:val="00290F9C"/>
    <w:rsid w:val="00290FA1"/>
    <w:rsid w:val="00293C89"/>
    <w:rsid w:val="00296801"/>
    <w:rsid w:val="00296D4C"/>
    <w:rsid w:val="002A1EC9"/>
    <w:rsid w:val="002A421C"/>
    <w:rsid w:val="002A4246"/>
    <w:rsid w:val="002A474C"/>
    <w:rsid w:val="002A55AC"/>
    <w:rsid w:val="002A623A"/>
    <w:rsid w:val="002B2E1E"/>
    <w:rsid w:val="002B2ED8"/>
    <w:rsid w:val="002B44DB"/>
    <w:rsid w:val="002B5775"/>
    <w:rsid w:val="002B6125"/>
    <w:rsid w:val="002B635A"/>
    <w:rsid w:val="002B6769"/>
    <w:rsid w:val="002B679C"/>
    <w:rsid w:val="002B7D67"/>
    <w:rsid w:val="002C0CFA"/>
    <w:rsid w:val="002C2781"/>
    <w:rsid w:val="002C2A73"/>
    <w:rsid w:val="002C786A"/>
    <w:rsid w:val="002D0017"/>
    <w:rsid w:val="002D1003"/>
    <w:rsid w:val="002D188E"/>
    <w:rsid w:val="002D1AB1"/>
    <w:rsid w:val="002D5629"/>
    <w:rsid w:val="002D61C1"/>
    <w:rsid w:val="002D7A2A"/>
    <w:rsid w:val="002D7AEB"/>
    <w:rsid w:val="002D7FDB"/>
    <w:rsid w:val="002E1793"/>
    <w:rsid w:val="002E223A"/>
    <w:rsid w:val="002E29D0"/>
    <w:rsid w:val="002E52B6"/>
    <w:rsid w:val="002E548F"/>
    <w:rsid w:val="002E55DC"/>
    <w:rsid w:val="002E7BBF"/>
    <w:rsid w:val="002F013A"/>
    <w:rsid w:val="002F22BA"/>
    <w:rsid w:val="002F2A2B"/>
    <w:rsid w:val="002F3236"/>
    <w:rsid w:val="002F44A5"/>
    <w:rsid w:val="003007C7"/>
    <w:rsid w:val="00300B28"/>
    <w:rsid w:val="00302C02"/>
    <w:rsid w:val="00302D84"/>
    <w:rsid w:val="00303A4F"/>
    <w:rsid w:val="00306DB8"/>
    <w:rsid w:val="003105D8"/>
    <w:rsid w:val="003118D7"/>
    <w:rsid w:val="0031310A"/>
    <w:rsid w:val="003143AD"/>
    <w:rsid w:val="00316E01"/>
    <w:rsid w:val="00317BFE"/>
    <w:rsid w:val="003207A1"/>
    <w:rsid w:val="00323827"/>
    <w:rsid w:val="0032626C"/>
    <w:rsid w:val="00326532"/>
    <w:rsid w:val="00327695"/>
    <w:rsid w:val="00330F19"/>
    <w:rsid w:val="00331E5F"/>
    <w:rsid w:val="0033404B"/>
    <w:rsid w:val="00335F91"/>
    <w:rsid w:val="00337228"/>
    <w:rsid w:val="00337E73"/>
    <w:rsid w:val="003410AC"/>
    <w:rsid w:val="003473E9"/>
    <w:rsid w:val="003519A9"/>
    <w:rsid w:val="0035280A"/>
    <w:rsid w:val="00353B05"/>
    <w:rsid w:val="00353E83"/>
    <w:rsid w:val="00353F05"/>
    <w:rsid w:val="00353FB4"/>
    <w:rsid w:val="003561C9"/>
    <w:rsid w:val="003574D7"/>
    <w:rsid w:val="003578DC"/>
    <w:rsid w:val="003602D6"/>
    <w:rsid w:val="00360DA5"/>
    <w:rsid w:val="00361434"/>
    <w:rsid w:val="00361B76"/>
    <w:rsid w:val="00361E41"/>
    <w:rsid w:val="00362DE8"/>
    <w:rsid w:val="00363071"/>
    <w:rsid w:val="0036311C"/>
    <w:rsid w:val="0036321B"/>
    <w:rsid w:val="00363911"/>
    <w:rsid w:val="003646C3"/>
    <w:rsid w:val="00370B0C"/>
    <w:rsid w:val="0037184D"/>
    <w:rsid w:val="00371AAF"/>
    <w:rsid w:val="003729F9"/>
    <w:rsid w:val="00373A8D"/>
    <w:rsid w:val="003751A1"/>
    <w:rsid w:val="003751D1"/>
    <w:rsid w:val="00375B68"/>
    <w:rsid w:val="00375F4E"/>
    <w:rsid w:val="00377722"/>
    <w:rsid w:val="00381F32"/>
    <w:rsid w:val="00384636"/>
    <w:rsid w:val="0038488E"/>
    <w:rsid w:val="00384F22"/>
    <w:rsid w:val="00385A62"/>
    <w:rsid w:val="00386F75"/>
    <w:rsid w:val="00390592"/>
    <w:rsid w:val="003906AE"/>
    <w:rsid w:val="003913CF"/>
    <w:rsid w:val="003919DC"/>
    <w:rsid w:val="00392BF6"/>
    <w:rsid w:val="00394545"/>
    <w:rsid w:val="00396255"/>
    <w:rsid w:val="00397063"/>
    <w:rsid w:val="003A0158"/>
    <w:rsid w:val="003A3A40"/>
    <w:rsid w:val="003A5389"/>
    <w:rsid w:val="003A714E"/>
    <w:rsid w:val="003A7E6F"/>
    <w:rsid w:val="003B0C12"/>
    <w:rsid w:val="003B2480"/>
    <w:rsid w:val="003B4B18"/>
    <w:rsid w:val="003B6F03"/>
    <w:rsid w:val="003C2AAD"/>
    <w:rsid w:val="003C531C"/>
    <w:rsid w:val="003C7ECE"/>
    <w:rsid w:val="003D04B2"/>
    <w:rsid w:val="003D2881"/>
    <w:rsid w:val="003D2DAD"/>
    <w:rsid w:val="003D31B4"/>
    <w:rsid w:val="003D360D"/>
    <w:rsid w:val="003D36C4"/>
    <w:rsid w:val="003D46EE"/>
    <w:rsid w:val="003D47DD"/>
    <w:rsid w:val="003D6717"/>
    <w:rsid w:val="003D7135"/>
    <w:rsid w:val="003E035F"/>
    <w:rsid w:val="003E1D2C"/>
    <w:rsid w:val="003E48D2"/>
    <w:rsid w:val="003E6D9D"/>
    <w:rsid w:val="003F0DF3"/>
    <w:rsid w:val="003F0F42"/>
    <w:rsid w:val="003F1EBB"/>
    <w:rsid w:val="003F32A8"/>
    <w:rsid w:val="003F35AF"/>
    <w:rsid w:val="003F4E94"/>
    <w:rsid w:val="003F5374"/>
    <w:rsid w:val="003F6BD8"/>
    <w:rsid w:val="004002B2"/>
    <w:rsid w:val="004043A5"/>
    <w:rsid w:val="004048FF"/>
    <w:rsid w:val="004049B5"/>
    <w:rsid w:val="004056FE"/>
    <w:rsid w:val="00405862"/>
    <w:rsid w:val="00407568"/>
    <w:rsid w:val="00415EFC"/>
    <w:rsid w:val="004217E5"/>
    <w:rsid w:val="00422419"/>
    <w:rsid w:val="0042334C"/>
    <w:rsid w:val="004320CB"/>
    <w:rsid w:val="00432399"/>
    <w:rsid w:val="00434502"/>
    <w:rsid w:val="00434938"/>
    <w:rsid w:val="00435A17"/>
    <w:rsid w:val="00436C75"/>
    <w:rsid w:val="00437F1C"/>
    <w:rsid w:val="0044022E"/>
    <w:rsid w:val="00440410"/>
    <w:rsid w:val="004429C3"/>
    <w:rsid w:val="00447367"/>
    <w:rsid w:val="00450209"/>
    <w:rsid w:val="00450A94"/>
    <w:rsid w:val="00450DCE"/>
    <w:rsid w:val="00450FE3"/>
    <w:rsid w:val="00455FC7"/>
    <w:rsid w:val="00456C16"/>
    <w:rsid w:val="00457EFD"/>
    <w:rsid w:val="00460E33"/>
    <w:rsid w:val="004624C4"/>
    <w:rsid w:val="00462625"/>
    <w:rsid w:val="0046279F"/>
    <w:rsid w:val="004628A1"/>
    <w:rsid w:val="004635BF"/>
    <w:rsid w:val="00463841"/>
    <w:rsid w:val="00465BEF"/>
    <w:rsid w:val="00467E6F"/>
    <w:rsid w:val="004703C8"/>
    <w:rsid w:val="00470C48"/>
    <w:rsid w:val="004716DE"/>
    <w:rsid w:val="00471FFF"/>
    <w:rsid w:val="0047410A"/>
    <w:rsid w:val="004750E7"/>
    <w:rsid w:val="0047534F"/>
    <w:rsid w:val="00475633"/>
    <w:rsid w:val="00475DF6"/>
    <w:rsid w:val="00476437"/>
    <w:rsid w:val="004769F9"/>
    <w:rsid w:val="004820A2"/>
    <w:rsid w:val="00483981"/>
    <w:rsid w:val="00485F42"/>
    <w:rsid w:val="00487834"/>
    <w:rsid w:val="004926C4"/>
    <w:rsid w:val="00493255"/>
    <w:rsid w:val="00495CA8"/>
    <w:rsid w:val="00496631"/>
    <w:rsid w:val="00496809"/>
    <w:rsid w:val="004A3DC1"/>
    <w:rsid w:val="004A718C"/>
    <w:rsid w:val="004A73D7"/>
    <w:rsid w:val="004A79B6"/>
    <w:rsid w:val="004B0230"/>
    <w:rsid w:val="004B0AB0"/>
    <w:rsid w:val="004B35ED"/>
    <w:rsid w:val="004B3A1E"/>
    <w:rsid w:val="004B4183"/>
    <w:rsid w:val="004B591B"/>
    <w:rsid w:val="004B6254"/>
    <w:rsid w:val="004B649D"/>
    <w:rsid w:val="004B6A1E"/>
    <w:rsid w:val="004C0C5E"/>
    <w:rsid w:val="004C127C"/>
    <w:rsid w:val="004C3AE5"/>
    <w:rsid w:val="004C3D1C"/>
    <w:rsid w:val="004C4F4E"/>
    <w:rsid w:val="004C716F"/>
    <w:rsid w:val="004D0383"/>
    <w:rsid w:val="004D067D"/>
    <w:rsid w:val="004D1464"/>
    <w:rsid w:val="004D2DF4"/>
    <w:rsid w:val="004D35FA"/>
    <w:rsid w:val="004D409A"/>
    <w:rsid w:val="004D4C1D"/>
    <w:rsid w:val="004D7E59"/>
    <w:rsid w:val="004D7FC7"/>
    <w:rsid w:val="004E260F"/>
    <w:rsid w:val="004E2B86"/>
    <w:rsid w:val="004E2C1A"/>
    <w:rsid w:val="004E2E6D"/>
    <w:rsid w:val="004E2F14"/>
    <w:rsid w:val="004E7962"/>
    <w:rsid w:val="004F1E45"/>
    <w:rsid w:val="004F26BF"/>
    <w:rsid w:val="004F43E6"/>
    <w:rsid w:val="004F7331"/>
    <w:rsid w:val="004F7EFE"/>
    <w:rsid w:val="0050129B"/>
    <w:rsid w:val="00501415"/>
    <w:rsid w:val="00502DF3"/>
    <w:rsid w:val="0050437D"/>
    <w:rsid w:val="00504A5E"/>
    <w:rsid w:val="005055E6"/>
    <w:rsid w:val="00506876"/>
    <w:rsid w:val="00507264"/>
    <w:rsid w:val="00510AD8"/>
    <w:rsid w:val="005118D9"/>
    <w:rsid w:val="00512686"/>
    <w:rsid w:val="00513AC1"/>
    <w:rsid w:val="00513F2A"/>
    <w:rsid w:val="00513F82"/>
    <w:rsid w:val="0051478F"/>
    <w:rsid w:val="00515340"/>
    <w:rsid w:val="00523119"/>
    <w:rsid w:val="00523751"/>
    <w:rsid w:val="005238FE"/>
    <w:rsid w:val="005243EC"/>
    <w:rsid w:val="00526ABC"/>
    <w:rsid w:val="00530A21"/>
    <w:rsid w:val="00530EF0"/>
    <w:rsid w:val="00533113"/>
    <w:rsid w:val="00533655"/>
    <w:rsid w:val="00534071"/>
    <w:rsid w:val="00534B7B"/>
    <w:rsid w:val="005351EF"/>
    <w:rsid w:val="005356BB"/>
    <w:rsid w:val="00535D8F"/>
    <w:rsid w:val="00536D71"/>
    <w:rsid w:val="005373E3"/>
    <w:rsid w:val="00537D24"/>
    <w:rsid w:val="00537DA9"/>
    <w:rsid w:val="00541FAF"/>
    <w:rsid w:val="00547C80"/>
    <w:rsid w:val="00550D82"/>
    <w:rsid w:val="00551D4F"/>
    <w:rsid w:val="00552261"/>
    <w:rsid w:val="00552873"/>
    <w:rsid w:val="00552D29"/>
    <w:rsid w:val="0055373A"/>
    <w:rsid w:val="00554309"/>
    <w:rsid w:val="005549A2"/>
    <w:rsid w:val="005556A5"/>
    <w:rsid w:val="0056259E"/>
    <w:rsid w:val="00562D5E"/>
    <w:rsid w:val="00564C4F"/>
    <w:rsid w:val="005657BB"/>
    <w:rsid w:val="00567280"/>
    <w:rsid w:val="00570041"/>
    <w:rsid w:val="00570EF2"/>
    <w:rsid w:val="00572125"/>
    <w:rsid w:val="005729D0"/>
    <w:rsid w:val="005735B6"/>
    <w:rsid w:val="00574261"/>
    <w:rsid w:val="00574BC9"/>
    <w:rsid w:val="0057583E"/>
    <w:rsid w:val="00575DA0"/>
    <w:rsid w:val="005760C0"/>
    <w:rsid w:val="00576AE7"/>
    <w:rsid w:val="00580C7D"/>
    <w:rsid w:val="00580D80"/>
    <w:rsid w:val="0058592F"/>
    <w:rsid w:val="005861E6"/>
    <w:rsid w:val="00586D47"/>
    <w:rsid w:val="00587D41"/>
    <w:rsid w:val="00592C93"/>
    <w:rsid w:val="00592E0D"/>
    <w:rsid w:val="0059379A"/>
    <w:rsid w:val="005945B9"/>
    <w:rsid w:val="005962D2"/>
    <w:rsid w:val="00597311"/>
    <w:rsid w:val="005A1693"/>
    <w:rsid w:val="005A1A14"/>
    <w:rsid w:val="005A1B79"/>
    <w:rsid w:val="005A21A2"/>
    <w:rsid w:val="005A297A"/>
    <w:rsid w:val="005A3391"/>
    <w:rsid w:val="005A3971"/>
    <w:rsid w:val="005A3A9A"/>
    <w:rsid w:val="005A3BBE"/>
    <w:rsid w:val="005A66D6"/>
    <w:rsid w:val="005B0493"/>
    <w:rsid w:val="005B0DE6"/>
    <w:rsid w:val="005B2C79"/>
    <w:rsid w:val="005B316F"/>
    <w:rsid w:val="005B3335"/>
    <w:rsid w:val="005B4A9A"/>
    <w:rsid w:val="005B588C"/>
    <w:rsid w:val="005B6006"/>
    <w:rsid w:val="005B6ECE"/>
    <w:rsid w:val="005C072F"/>
    <w:rsid w:val="005C1012"/>
    <w:rsid w:val="005C21C6"/>
    <w:rsid w:val="005C3E93"/>
    <w:rsid w:val="005C468F"/>
    <w:rsid w:val="005C548A"/>
    <w:rsid w:val="005C659D"/>
    <w:rsid w:val="005C7B23"/>
    <w:rsid w:val="005D1FBC"/>
    <w:rsid w:val="005D20B9"/>
    <w:rsid w:val="005D2863"/>
    <w:rsid w:val="005D2FE4"/>
    <w:rsid w:val="005D5172"/>
    <w:rsid w:val="005D6055"/>
    <w:rsid w:val="005D7566"/>
    <w:rsid w:val="005D7D70"/>
    <w:rsid w:val="005E17F8"/>
    <w:rsid w:val="005E1A59"/>
    <w:rsid w:val="005E248C"/>
    <w:rsid w:val="005E483F"/>
    <w:rsid w:val="005E4BCE"/>
    <w:rsid w:val="005E6CEE"/>
    <w:rsid w:val="005E73F0"/>
    <w:rsid w:val="005F00AC"/>
    <w:rsid w:val="005F0488"/>
    <w:rsid w:val="005F2E7F"/>
    <w:rsid w:val="005F4A0E"/>
    <w:rsid w:val="005F5099"/>
    <w:rsid w:val="005F64C7"/>
    <w:rsid w:val="005F729C"/>
    <w:rsid w:val="00602F45"/>
    <w:rsid w:val="006032F4"/>
    <w:rsid w:val="006034E9"/>
    <w:rsid w:val="00603EE7"/>
    <w:rsid w:val="006048B7"/>
    <w:rsid w:val="00605DE4"/>
    <w:rsid w:val="00607A36"/>
    <w:rsid w:val="00612A59"/>
    <w:rsid w:val="00612E0D"/>
    <w:rsid w:val="0061398B"/>
    <w:rsid w:val="00616C45"/>
    <w:rsid w:val="00617A0A"/>
    <w:rsid w:val="00617B4F"/>
    <w:rsid w:val="00623926"/>
    <w:rsid w:val="00623AAD"/>
    <w:rsid w:val="00623E8D"/>
    <w:rsid w:val="0062445C"/>
    <w:rsid w:val="006262C3"/>
    <w:rsid w:val="00626D1D"/>
    <w:rsid w:val="00627469"/>
    <w:rsid w:val="006306C7"/>
    <w:rsid w:val="00632B4C"/>
    <w:rsid w:val="00636327"/>
    <w:rsid w:val="006376BB"/>
    <w:rsid w:val="006427EA"/>
    <w:rsid w:val="00643BBB"/>
    <w:rsid w:val="00644F50"/>
    <w:rsid w:val="00646165"/>
    <w:rsid w:val="006470AB"/>
    <w:rsid w:val="00647D11"/>
    <w:rsid w:val="00647DB1"/>
    <w:rsid w:val="00647EC1"/>
    <w:rsid w:val="00650C7D"/>
    <w:rsid w:val="006516BA"/>
    <w:rsid w:val="00651C92"/>
    <w:rsid w:val="006521CA"/>
    <w:rsid w:val="0065354F"/>
    <w:rsid w:val="006545B8"/>
    <w:rsid w:val="00655150"/>
    <w:rsid w:val="00655826"/>
    <w:rsid w:val="00657A8E"/>
    <w:rsid w:val="0066027F"/>
    <w:rsid w:val="00660CDE"/>
    <w:rsid w:val="00661457"/>
    <w:rsid w:val="006616A7"/>
    <w:rsid w:val="00662042"/>
    <w:rsid w:val="00664401"/>
    <w:rsid w:val="00665819"/>
    <w:rsid w:val="00667CDA"/>
    <w:rsid w:val="0067060E"/>
    <w:rsid w:val="0067072A"/>
    <w:rsid w:val="00670D66"/>
    <w:rsid w:val="00670F34"/>
    <w:rsid w:val="006716A2"/>
    <w:rsid w:val="00672D9B"/>
    <w:rsid w:val="0067412F"/>
    <w:rsid w:val="0067429D"/>
    <w:rsid w:val="00674A37"/>
    <w:rsid w:val="00674AD2"/>
    <w:rsid w:val="00675156"/>
    <w:rsid w:val="0067563B"/>
    <w:rsid w:val="00675CF0"/>
    <w:rsid w:val="00676EE5"/>
    <w:rsid w:val="00676EF7"/>
    <w:rsid w:val="00681E32"/>
    <w:rsid w:val="006830FF"/>
    <w:rsid w:val="006831F5"/>
    <w:rsid w:val="00684048"/>
    <w:rsid w:val="006845A2"/>
    <w:rsid w:val="00684A40"/>
    <w:rsid w:val="00684EA4"/>
    <w:rsid w:val="00686793"/>
    <w:rsid w:val="00686AD7"/>
    <w:rsid w:val="00687DD7"/>
    <w:rsid w:val="00690393"/>
    <w:rsid w:val="0069121E"/>
    <w:rsid w:val="0069124E"/>
    <w:rsid w:val="00692E63"/>
    <w:rsid w:val="00694B09"/>
    <w:rsid w:val="00695756"/>
    <w:rsid w:val="00696B0B"/>
    <w:rsid w:val="00696FE9"/>
    <w:rsid w:val="006A085A"/>
    <w:rsid w:val="006A187E"/>
    <w:rsid w:val="006A2D8F"/>
    <w:rsid w:val="006A40AC"/>
    <w:rsid w:val="006A46E3"/>
    <w:rsid w:val="006A4D88"/>
    <w:rsid w:val="006A4FB9"/>
    <w:rsid w:val="006A6B87"/>
    <w:rsid w:val="006A731F"/>
    <w:rsid w:val="006B0DCA"/>
    <w:rsid w:val="006B0F85"/>
    <w:rsid w:val="006B1C46"/>
    <w:rsid w:val="006B23C7"/>
    <w:rsid w:val="006B403B"/>
    <w:rsid w:val="006B7EC1"/>
    <w:rsid w:val="006C0DF9"/>
    <w:rsid w:val="006C1BFE"/>
    <w:rsid w:val="006C1FA9"/>
    <w:rsid w:val="006C70AC"/>
    <w:rsid w:val="006C7F5B"/>
    <w:rsid w:val="006D08CA"/>
    <w:rsid w:val="006D0D0D"/>
    <w:rsid w:val="006D0EB0"/>
    <w:rsid w:val="006D2090"/>
    <w:rsid w:val="006D3313"/>
    <w:rsid w:val="006D37A3"/>
    <w:rsid w:val="006D4712"/>
    <w:rsid w:val="006D6485"/>
    <w:rsid w:val="006D6831"/>
    <w:rsid w:val="006D7F7C"/>
    <w:rsid w:val="006E1417"/>
    <w:rsid w:val="006E3421"/>
    <w:rsid w:val="006E462E"/>
    <w:rsid w:val="006E485D"/>
    <w:rsid w:val="006E4E34"/>
    <w:rsid w:val="006E5127"/>
    <w:rsid w:val="006E686E"/>
    <w:rsid w:val="006E7B0A"/>
    <w:rsid w:val="006F191C"/>
    <w:rsid w:val="006F2B0B"/>
    <w:rsid w:val="006F6B14"/>
    <w:rsid w:val="006F7D00"/>
    <w:rsid w:val="0070157C"/>
    <w:rsid w:val="00702A60"/>
    <w:rsid w:val="007068C3"/>
    <w:rsid w:val="00710315"/>
    <w:rsid w:val="00710D31"/>
    <w:rsid w:val="00714A16"/>
    <w:rsid w:val="00715887"/>
    <w:rsid w:val="00716813"/>
    <w:rsid w:val="00717B71"/>
    <w:rsid w:val="00720C0E"/>
    <w:rsid w:val="00720F3D"/>
    <w:rsid w:val="00722764"/>
    <w:rsid w:val="00724271"/>
    <w:rsid w:val="00725BE6"/>
    <w:rsid w:val="00727F1B"/>
    <w:rsid w:val="00730C3F"/>
    <w:rsid w:val="0073193F"/>
    <w:rsid w:val="0073232E"/>
    <w:rsid w:val="00733A37"/>
    <w:rsid w:val="00733EE5"/>
    <w:rsid w:val="00734EA6"/>
    <w:rsid w:val="007365A0"/>
    <w:rsid w:val="00737531"/>
    <w:rsid w:val="007420B5"/>
    <w:rsid w:val="00742745"/>
    <w:rsid w:val="0074397B"/>
    <w:rsid w:val="00743D22"/>
    <w:rsid w:val="00744363"/>
    <w:rsid w:val="00746208"/>
    <w:rsid w:val="00746512"/>
    <w:rsid w:val="00750081"/>
    <w:rsid w:val="007500B4"/>
    <w:rsid w:val="0075110B"/>
    <w:rsid w:val="0075284B"/>
    <w:rsid w:val="007534CF"/>
    <w:rsid w:val="00753CAC"/>
    <w:rsid w:val="007571E0"/>
    <w:rsid w:val="007572CB"/>
    <w:rsid w:val="007600BC"/>
    <w:rsid w:val="00760850"/>
    <w:rsid w:val="0076167B"/>
    <w:rsid w:val="0076173F"/>
    <w:rsid w:val="00761936"/>
    <w:rsid w:val="00762268"/>
    <w:rsid w:val="007622DE"/>
    <w:rsid w:val="00764255"/>
    <w:rsid w:val="007664C0"/>
    <w:rsid w:val="007664E3"/>
    <w:rsid w:val="0077003B"/>
    <w:rsid w:val="0077171A"/>
    <w:rsid w:val="00772062"/>
    <w:rsid w:val="0077213C"/>
    <w:rsid w:val="007721C8"/>
    <w:rsid w:val="00773324"/>
    <w:rsid w:val="0077407A"/>
    <w:rsid w:val="00775886"/>
    <w:rsid w:val="00775887"/>
    <w:rsid w:val="00775C08"/>
    <w:rsid w:val="00780932"/>
    <w:rsid w:val="00781F8B"/>
    <w:rsid w:val="00783D9E"/>
    <w:rsid w:val="007867A2"/>
    <w:rsid w:val="0079022E"/>
    <w:rsid w:val="007907FA"/>
    <w:rsid w:val="007913E8"/>
    <w:rsid w:val="00792496"/>
    <w:rsid w:val="007941E6"/>
    <w:rsid w:val="0079494A"/>
    <w:rsid w:val="00796EDE"/>
    <w:rsid w:val="007A13AA"/>
    <w:rsid w:val="007A1DB7"/>
    <w:rsid w:val="007A20CE"/>
    <w:rsid w:val="007A24C1"/>
    <w:rsid w:val="007A7DDE"/>
    <w:rsid w:val="007B0C28"/>
    <w:rsid w:val="007B1138"/>
    <w:rsid w:val="007B2949"/>
    <w:rsid w:val="007B39FF"/>
    <w:rsid w:val="007B49AF"/>
    <w:rsid w:val="007B5A70"/>
    <w:rsid w:val="007B5CEE"/>
    <w:rsid w:val="007B6448"/>
    <w:rsid w:val="007B708D"/>
    <w:rsid w:val="007C0B48"/>
    <w:rsid w:val="007C18BA"/>
    <w:rsid w:val="007C293D"/>
    <w:rsid w:val="007C3A71"/>
    <w:rsid w:val="007C4420"/>
    <w:rsid w:val="007C4760"/>
    <w:rsid w:val="007C4768"/>
    <w:rsid w:val="007C4B01"/>
    <w:rsid w:val="007C4FAC"/>
    <w:rsid w:val="007C7A8F"/>
    <w:rsid w:val="007D0206"/>
    <w:rsid w:val="007D080B"/>
    <w:rsid w:val="007D2255"/>
    <w:rsid w:val="007E2755"/>
    <w:rsid w:val="007E4075"/>
    <w:rsid w:val="007E58D7"/>
    <w:rsid w:val="007E66FE"/>
    <w:rsid w:val="007E6CE7"/>
    <w:rsid w:val="007E77E9"/>
    <w:rsid w:val="007F2DB4"/>
    <w:rsid w:val="007F4B0C"/>
    <w:rsid w:val="007F4C52"/>
    <w:rsid w:val="007F60D3"/>
    <w:rsid w:val="007F69E1"/>
    <w:rsid w:val="007F7439"/>
    <w:rsid w:val="007F7D71"/>
    <w:rsid w:val="00800788"/>
    <w:rsid w:val="00801D5E"/>
    <w:rsid w:val="00804752"/>
    <w:rsid w:val="0080565E"/>
    <w:rsid w:val="00805EAD"/>
    <w:rsid w:val="008061FC"/>
    <w:rsid w:val="00807948"/>
    <w:rsid w:val="008079C6"/>
    <w:rsid w:val="00810417"/>
    <w:rsid w:val="00811E70"/>
    <w:rsid w:val="0081257F"/>
    <w:rsid w:val="00812B68"/>
    <w:rsid w:val="008137C1"/>
    <w:rsid w:val="00814589"/>
    <w:rsid w:val="00816CF1"/>
    <w:rsid w:val="0081733C"/>
    <w:rsid w:val="00820D84"/>
    <w:rsid w:val="00822BF5"/>
    <w:rsid w:val="0082353C"/>
    <w:rsid w:val="00831825"/>
    <w:rsid w:val="008330F7"/>
    <w:rsid w:val="00834751"/>
    <w:rsid w:val="0083518E"/>
    <w:rsid w:val="0083552C"/>
    <w:rsid w:val="00836400"/>
    <w:rsid w:val="00837602"/>
    <w:rsid w:val="00841DA5"/>
    <w:rsid w:val="008431B7"/>
    <w:rsid w:val="00844105"/>
    <w:rsid w:val="00844ACE"/>
    <w:rsid w:val="0084587D"/>
    <w:rsid w:val="00846653"/>
    <w:rsid w:val="00847897"/>
    <w:rsid w:val="00847DB6"/>
    <w:rsid w:val="00850B9A"/>
    <w:rsid w:val="00851181"/>
    <w:rsid w:val="00851B64"/>
    <w:rsid w:val="00852C8F"/>
    <w:rsid w:val="00854556"/>
    <w:rsid w:val="00855045"/>
    <w:rsid w:val="00856794"/>
    <w:rsid w:val="0085711F"/>
    <w:rsid w:val="0086126B"/>
    <w:rsid w:val="008618B7"/>
    <w:rsid w:val="00861BFB"/>
    <w:rsid w:val="00861CA8"/>
    <w:rsid w:val="00861DCA"/>
    <w:rsid w:val="008620A2"/>
    <w:rsid w:val="0086419E"/>
    <w:rsid w:val="00865E4E"/>
    <w:rsid w:val="00865EC4"/>
    <w:rsid w:val="0086667B"/>
    <w:rsid w:val="00867E2F"/>
    <w:rsid w:val="00870156"/>
    <w:rsid w:val="00871C0D"/>
    <w:rsid w:val="00871FED"/>
    <w:rsid w:val="008817AF"/>
    <w:rsid w:val="00883595"/>
    <w:rsid w:val="0089008C"/>
    <w:rsid w:val="00890EB7"/>
    <w:rsid w:val="00890F87"/>
    <w:rsid w:val="00891A94"/>
    <w:rsid w:val="00894421"/>
    <w:rsid w:val="00894741"/>
    <w:rsid w:val="008951DD"/>
    <w:rsid w:val="00895D3B"/>
    <w:rsid w:val="00896849"/>
    <w:rsid w:val="008968F8"/>
    <w:rsid w:val="008975E4"/>
    <w:rsid w:val="008A1DBA"/>
    <w:rsid w:val="008A2EF0"/>
    <w:rsid w:val="008A3368"/>
    <w:rsid w:val="008A3E1B"/>
    <w:rsid w:val="008A43E5"/>
    <w:rsid w:val="008A5291"/>
    <w:rsid w:val="008A5DF0"/>
    <w:rsid w:val="008A65EB"/>
    <w:rsid w:val="008A7C79"/>
    <w:rsid w:val="008A7CF6"/>
    <w:rsid w:val="008B00D9"/>
    <w:rsid w:val="008B3052"/>
    <w:rsid w:val="008B5054"/>
    <w:rsid w:val="008B56F2"/>
    <w:rsid w:val="008B6491"/>
    <w:rsid w:val="008B6EE6"/>
    <w:rsid w:val="008C0807"/>
    <w:rsid w:val="008C0B99"/>
    <w:rsid w:val="008C1E0D"/>
    <w:rsid w:val="008C2030"/>
    <w:rsid w:val="008C2A02"/>
    <w:rsid w:val="008C4E5F"/>
    <w:rsid w:val="008C76CB"/>
    <w:rsid w:val="008C7FC0"/>
    <w:rsid w:val="008D0003"/>
    <w:rsid w:val="008D21B4"/>
    <w:rsid w:val="008D2296"/>
    <w:rsid w:val="008D3406"/>
    <w:rsid w:val="008E3775"/>
    <w:rsid w:val="008E443D"/>
    <w:rsid w:val="008E464E"/>
    <w:rsid w:val="008E46CF"/>
    <w:rsid w:val="008E4E53"/>
    <w:rsid w:val="008E591E"/>
    <w:rsid w:val="008E5C53"/>
    <w:rsid w:val="008F1520"/>
    <w:rsid w:val="008F227F"/>
    <w:rsid w:val="008F268E"/>
    <w:rsid w:val="008F3563"/>
    <w:rsid w:val="008F3BA9"/>
    <w:rsid w:val="008F56E3"/>
    <w:rsid w:val="008F7501"/>
    <w:rsid w:val="0090022D"/>
    <w:rsid w:val="00902BC6"/>
    <w:rsid w:val="0090374D"/>
    <w:rsid w:val="00903863"/>
    <w:rsid w:val="00904BA1"/>
    <w:rsid w:val="00907CC6"/>
    <w:rsid w:val="00915515"/>
    <w:rsid w:val="00917632"/>
    <w:rsid w:val="00922CEB"/>
    <w:rsid w:val="00922FFB"/>
    <w:rsid w:val="00923620"/>
    <w:rsid w:val="00924449"/>
    <w:rsid w:val="00925F42"/>
    <w:rsid w:val="00927919"/>
    <w:rsid w:val="00930AA1"/>
    <w:rsid w:val="00930AC4"/>
    <w:rsid w:val="009316B0"/>
    <w:rsid w:val="00931EB8"/>
    <w:rsid w:val="00933FCE"/>
    <w:rsid w:val="009341B4"/>
    <w:rsid w:val="00934472"/>
    <w:rsid w:val="00934710"/>
    <w:rsid w:val="009358D1"/>
    <w:rsid w:val="009358F9"/>
    <w:rsid w:val="0093655E"/>
    <w:rsid w:val="00940A14"/>
    <w:rsid w:val="00941F5B"/>
    <w:rsid w:val="00942175"/>
    <w:rsid w:val="009429BF"/>
    <w:rsid w:val="00942F41"/>
    <w:rsid w:val="009450AD"/>
    <w:rsid w:val="009458B9"/>
    <w:rsid w:val="00947689"/>
    <w:rsid w:val="00947F4D"/>
    <w:rsid w:val="00951F29"/>
    <w:rsid w:val="009530D0"/>
    <w:rsid w:val="00953580"/>
    <w:rsid w:val="00953FDC"/>
    <w:rsid w:val="009540A5"/>
    <w:rsid w:val="00954E7B"/>
    <w:rsid w:val="00955106"/>
    <w:rsid w:val="009552B1"/>
    <w:rsid w:val="00955ACC"/>
    <w:rsid w:val="009561A7"/>
    <w:rsid w:val="00957192"/>
    <w:rsid w:val="009601DC"/>
    <w:rsid w:val="00960905"/>
    <w:rsid w:val="0096230E"/>
    <w:rsid w:val="0096304F"/>
    <w:rsid w:val="00963729"/>
    <w:rsid w:val="00964500"/>
    <w:rsid w:val="00965DF5"/>
    <w:rsid w:val="00965ED2"/>
    <w:rsid w:val="009660B9"/>
    <w:rsid w:val="00966327"/>
    <w:rsid w:val="00967693"/>
    <w:rsid w:val="00970EDE"/>
    <w:rsid w:val="0097347E"/>
    <w:rsid w:val="009767A8"/>
    <w:rsid w:val="00977263"/>
    <w:rsid w:val="0098197A"/>
    <w:rsid w:val="00982A03"/>
    <w:rsid w:val="00982B17"/>
    <w:rsid w:val="009842E2"/>
    <w:rsid w:val="00984B54"/>
    <w:rsid w:val="0098576C"/>
    <w:rsid w:val="00986C0F"/>
    <w:rsid w:val="009915B7"/>
    <w:rsid w:val="00991C5B"/>
    <w:rsid w:val="009936D0"/>
    <w:rsid w:val="00993995"/>
    <w:rsid w:val="00994BA9"/>
    <w:rsid w:val="009950DB"/>
    <w:rsid w:val="0099556D"/>
    <w:rsid w:val="00995B82"/>
    <w:rsid w:val="009973E4"/>
    <w:rsid w:val="00997D55"/>
    <w:rsid w:val="009A218A"/>
    <w:rsid w:val="009A261C"/>
    <w:rsid w:val="009A3C45"/>
    <w:rsid w:val="009A4DC0"/>
    <w:rsid w:val="009A54C4"/>
    <w:rsid w:val="009A57DF"/>
    <w:rsid w:val="009A5E87"/>
    <w:rsid w:val="009A66B8"/>
    <w:rsid w:val="009A77A0"/>
    <w:rsid w:val="009A7ED7"/>
    <w:rsid w:val="009B48D4"/>
    <w:rsid w:val="009B4AF3"/>
    <w:rsid w:val="009B52E1"/>
    <w:rsid w:val="009B5FA2"/>
    <w:rsid w:val="009B7550"/>
    <w:rsid w:val="009B7838"/>
    <w:rsid w:val="009C01C5"/>
    <w:rsid w:val="009C0C37"/>
    <w:rsid w:val="009C161F"/>
    <w:rsid w:val="009C2133"/>
    <w:rsid w:val="009C4BB2"/>
    <w:rsid w:val="009C523F"/>
    <w:rsid w:val="009C75B9"/>
    <w:rsid w:val="009C7725"/>
    <w:rsid w:val="009D09F7"/>
    <w:rsid w:val="009D3267"/>
    <w:rsid w:val="009D549D"/>
    <w:rsid w:val="009D7538"/>
    <w:rsid w:val="009E0AC6"/>
    <w:rsid w:val="009E434D"/>
    <w:rsid w:val="009E6E32"/>
    <w:rsid w:val="009F1739"/>
    <w:rsid w:val="009F4D5D"/>
    <w:rsid w:val="009F6451"/>
    <w:rsid w:val="009F65EE"/>
    <w:rsid w:val="00A00230"/>
    <w:rsid w:val="00A006EA"/>
    <w:rsid w:val="00A01E93"/>
    <w:rsid w:val="00A05288"/>
    <w:rsid w:val="00A05927"/>
    <w:rsid w:val="00A05E6D"/>
    <w:rsid w:val="00A06E22"/>
    <w:rsid w:val="00A10CFE"/>
    <w:rsid w:val="00A11F22"/>
    <w:rsid w:val="00A12C8D"/>
    <w:rsid w:val="00A12D2A"/>
    <w:rsid w:val="00A13FB9"/>
    <w:rsid w:val="00A1481A"/>
    <w:rsid w:val="00A153D1"/>
    <w:rsid w:val="00A16058"/>
    <w:rsid w:val="00A16EF4"/>
    <w:rsid w:val="00A20009"/>
    <w:rsid w:val="00A2381A"/>
    <w:rsid w:val="00A24453"/>
    <w:rsid w:val="00A30B28"/>
    <w:rsid w:val="00A3357B"/>
    <w:rsid w:val="00A374BE"/>
    <w:rsid w:val="00A37E25"/>
    <w:rsid w:val="00A37FB8"/>
    <w:rsid w:val="00A40E26"/>
    <w:rsid w:val="00A413BF"/>
    <w:rsid w:val="00A41691"/>
    <w:rsid w:val="00A4383C"/>
    <w:rsid w:val="00A4391B"/>
    <w:rsid w:val="00A44EAF"/>
    <w:rsid w:val="00A465F5"/>
    <w:rsid w:val="00A51508"/>
    <w:rsid w:val="00A528A2"/>
    <w:rsid w:val="00A5460A"/>
    <w:rsid w:val="00A54C1F"/>
    <w:rsid w:val="00A56B48"/>
    <w:rsid w:val="00A57143"/>
    <w:rsid w:val="00A616C2"/>
    <w:rsid w:val="00A6355C"/>
    <w:rsid w:val="00A636AB"/>
    <w:rsid w:val="00A63D39"/>
    <w:rsid w:val="00A6617C"/>
    <w:rsid w:val="00A66419"/>
    <w:rsid w:val="00A73BB2"/>
    <w:rsid w:val="00A7424F"/>
    <w:rsid w:val="00A746B8"/>
    <w:rsid w:val="00A75837"/>
    <w:rsid w:val="00A75F24"/>
    <w:rsid w:val="00A8009E"/>
    <w:rsid w:val="00A80E38"/>
    <w:rsid w:val="00A81225"/>
    <w:rsid w:val="00A81CEA"/>
    <w:rsid w:val="00A825D5"/>
    <w:rsid w:val="00A8283F"/>
    <w:rsid w:val="00A82A13"/>
    <w:rsid w:val="00A853CB"/>
    <w:rsid w:val="00A86CF7"/>
    <w:rsid w:val="00A92706"/>
    <w:rsid w:val="00A92ED2"/>
    <w:rsid w:val="00A92F22"/>
    <w:rsid w:val="00A93214"/>
    <w:rsid w:val="00A93C41"/>
    <w:rsid w:val="00A9408D"/>
    <w:rsid w:val="00A94BFF"/>
    <w:rsid w:val="00A9582E"/>
    <w:rsid w:val="00A97C9F"/>
    <w:rsid w:val="00AA1AC1"/>
    <w:rsid w:val="00AA1D8C"/>
    <w:rsid w:val="00AA2718"/>
    <w:rsid w:val="00AA421C"/>
    <w:rsid w:val="00AA5B0B"/>
    <w:rsid w:val="00AA67FF"/>
    <w:rsid w:val="00AA6931"/>
    <w:rsid w:val="00AA6E8E"/>
    <w:rsid w:val="00AA7E96"/>
    <w:rsid w:val="00AB0F47"/>
    <w:rsid w:val="00AB1FFB"/>
    <w:rsid w:val="00AB3554"/>
    <w:rsid w:val="00AB4863"/>
    <w:rsid w:val="00AB679B"/>
    <w:rsid w:val="00AB707F"/>
    <w:rsid w:val="00AC0FE5"/>
    <w:rsid w:val="00AC52F2"/>
    <w:rsid w:val="00AC57A2"/>
    <w:rsid w:val="00AC6FF0"/>
    <w:rsid w:val="00AC7E18"/>
    <w:rsid w:val="00AD2FFD"/>
    <w:rsid w:val="00AD37AF"/>
    <w:rsid w:val="00AD4D6A"/>
    <w:rsid w:val="00AD55AB"/>
    <w:rsid w:val="00AD6362"/>
    <w:rsid w:val="00AD7E09"/>
    <w:rsid w:val="00AE1EB3"/>
    <w:rsid w:val="00AE1F63"/>
    <w:rsid w:val="00AE3C83"/>
    <w:rsid w:val="00AE3CB5"/>
    <w:rsid w:val="00AE47A7"/>
    <w:rsid w:val="00AE541D"/>
    <w:rsid w:val="00AE7D79"/>
    <w:rsid w:val="00AF0D04"/>
    <w:rsid w:val="00AF1477"/>
    <w:rsid w:val="00AF2906"/>
    <w:rsid w:val="00AF4C6C"/>
    <w:rsid w:val="00AF62CB"/>
    <w:rsid w:val="00AF67A3"/>
    <w:rsid w:val="00AF68FD"/>
    <w:rsid w:val="00AF6E44"/>
    <w:rsid w:val="00B00555"/>
    <w:rsid w:val="00B01F26"/>
    <w:rsid w:val="00B0235B"/>
    <w:rsid w:val="00B06FFF"/>
    <w:rsid w:val="00B07505"/>
    <w:rsid w:val="00B07FBC"/>
    <w:rsid w:val="00B10B07"/>
    <w:rsid w:val="00B10B6C"/>
    <w:rsid w:val="00B113B3"/>
    <w:rsid w:val="00B11624"/>
    <w:rsid w:val="00B1252D"/>
    <w:rsid w:val="00B1352F"/>
    <w:rsid w:val="00B17991"/>
    <w:rsid w:val="00B23CB4"/>
    <w:rsid w:val="00B23E79"/>
    <w:rsid w:val="00B2464F"/>
    <w:rsid w:val="00B24B4E"/>
    <w:rsid w:val="00B24F77"/>
    <w:rsid w:val="00B27C52"/>
    <w:rsid w:val="00B303CD"/>
    <w:rsid w:val="00B30EF7"/>
    <w:rsid w:val="00B32D21"/>
    <w:rsid w:val="00B32ED0"/>
    <w:rsid w:val="00B35C09"/>
    <w:rsid w:val="00B35C73"/>
    <w:rsid w:val="00B37D74"/>
    <w:rsid w:val="00B405DB"/>
    <w:rsid w:val="00B417F1"/>
    <w:rsid w:val="00B43452"/>
    <w:rsid w:val="00B44335"/>
    <w:rsid w:val="00B45D11"/>
    <w:rsid w:val="00B470C9"/>
    <w:rsid w:val="00B509B5"/>
    <w:rsid w:val="00B52307"/>
    <w:rsid w:val="00B529EE"/>
    <w:rsid w:val="00B52CBA"/>
    <w:rsid w:val="00B564C6"/>
    <w:rsid w:val="00B56CE3"/>
    <w:rsid w:val="00B5761E"/>
    <w:rsid w:val="00B6109D"/>
    <w:rsid w:val="00B61FDE"/>
    <w:rsid w:val="00B62B79"/>
    <w:rsid w:val="00B63E51"/>
    <w:rsid w:val="00B6539A"/>
    <w:rsid w:val="00B655D2"/>
    <w:rsid w:val="00B657D0"/>
    <w:rsid w:val="00B66DDC"/>
    <w:rsid w:val="00B671B2"/>
    <w:rsid w:val="00B7094B"/>
    <w:rsid w:val="00B71320"/>
    <w:rsid w:val="00B71CE6"/>
    <w:rsid w:val="00B7280B"/>
    <w:rsid w:val="00B73876"/>
    <w:rsid w:val="00B75AB4"/>
    <w:rsid w:val="00B840DD"/>
    <w:rsid w:val="00B84913"/>
    <w:rsid w:val="00B85650"/>
    <w:rsid w:val="00B8670B"/>
    <w:rsid w:val="00B876B0"/>
    <w:rsid w:val="00B87816"/>
    <w:rsid w:val="00B9007F"/>
    <w:rsid w:val="00B91A8C"/>
    <w:rsid w:val="00B93DDD"/>
    <w:rsid w:val="00B945A2"/>
    <w:rsid w:val="00B94B98"/>
    <w:rsid w:val="00B9637A"/>
    <w:rsid w:val="00BA063E"/>
    <w:rsid w:val="00BA0890"/>
    <w:rsid w:val="00BA19FB"/>
    <w:rsid w:val="00BA29D4"/>
    <w:rsid w:val="00BA4AA0"/>
    <w:rsid w:val="00BA54B7"/>
    <w:rsid w:val="00BA688C"/>
    <w:rsid w:val="00BA6AA1"/>
    <w:rsid w:val="00BA7659"/>
    <w:rsid w:val="00BA7A12"/>
    <w:rsid w:val="00BB0207"/>
    <w:rsid w:val="00BB0A48"/>
    <w:rsid w:val="00BB0BE6"/>
    <w:rsid w:val="00BB3848"/>
    <w:rsid w:val="00BB452D"/>
    <w:rsid w:val="00BC02CA"/>
    <w:rsid w:val="00BC0DF1"/>
    <w:rsid w:val="00BC1A5D"/>
    <w:rsid w:val="00BC2295"/>
    <w:rsid w:val="00BC27B3"/>
    <w:rsid w:val="00BC35A7"/>
    <w:rsid w:val="00BC484F"/>
    <w:rsid w:val="00BC4A0F"/>
    <w:rsid w:val="00BC4B4E"/>
    <w:rsid w:val="00BC5693"/>
    <w:rsid w:val="00BC5B64"/>
    <w:rsid w:val="00BC6A97"/>
    <w:rsid w:val="00BD261F"/>
    <w:rsid w:val="00BD3216"/>
    <w:rsid w:val="00BD40ED"/>
    <w:rsid w:val="00BD50D5"/>
    <w:rsid w:val="00BD6D85"/>
    <w:rsid w:val="00BD7E0B"/>
    <w:rsid w:val="00BE09CE"/>
    <w:rsid w:val="00BE0BFB"/>
    <w:rsid w:val="00BE0C78"/>
    <w:rsid w:val="00BE336C"/>
    <w:rsid w:val="00BE38A7"/>
    <w:rsid w:val="00BE3B5C"/>
    <w:rsid w:val="00BE65AE"/>
    <w:rsid w:val="00BE7051"/>
    <w:rsid w:val="00BE7EED"/>
    <w:rsid w:val="00BF257A"/>
    <w:rsid w:val="00BF34F8"/>
    <w:rsid w:val="00BF44E3"/>
    <w:rsid w:val="00BF76A8"/>
    <w:rsid w:val="00C01F77"/>
    <w:rsid w:val="00C06F2D"/>
    <w:rsid w:val="00C11DA5"/>
    <w:rsid w:val="00C12E5C"/>
    <w:rsid w:val="00C12F85"/>
    <w:rsid w:val="00C13449"/>
    <w:rsid w:val="00C145A5"/>
    <w:rsid w:val="00C22973"/>
    <w:rsid w:val="00C241A2"/>
    <w:rsid w:val="00C24A80"/>
    <w:rsid w:val="00C26331"/>
    <w:rsid w:val="00C272C1"/>
    <w:rsid w:val="00C30913"/>
    <w:rsid w:val="00C31AE0"/>
    <w:rsid w:val="00C357E0"/>
    <w:rsid w:val="00C35B83"/>
    <w:rsid w:val="00C401D2"/>
    <w:rsid w:val="00C40E91"/>
    <w:rsid w:val="00C41318"/>
    <w:rsid w:val="00C415DF"/>
    <w:rsid w:val="00C41C8F"/>
    <w:rsid w:val="00C41FB3"/>
    <w:rsid w:val="00C424AF"/>
    <w:rsid w:val="00C42A88"/>
    <w:rsid w:val="00C4392F"/>
    <w:rsid w:val="00C43A82"/>
    <w:rsid w:val="00C44C11"/>
    <w:rsid w:val="00C45263"/>
    <w:rsid w:val="00C456D0"/>
    <w:rsid w:val="00C45746"/>
    <w:rsid w:val="00C4676A"/>
    <w:rsid w:val="00C46C5A"/>
    <w:rsid w:val="00C46C74"/>
    <w:rsid w:val="00C47B63"/>
    <w:rsid w:val="00C51C3E"/>
    <w:rsid w:val="00C53879"/>
    <w:rsid w:val="00C5563A"/>
    <w:rsid w:val="00C631AF"/>
    <w:rsid w:val="00C64B88"/>
    <w:rsid w:val="00C652F2"/>
    <w:rsid w:val="00C65566"/>
    <w:rsid w:val="00C72CB0"/>
    <w:rsid w:val="00C72DE4"/>
    <w:rsid w:val="00C73BD8"/>
    <w:rsid w:val="00C73DB7"/>
    <w:rsid w:val="00C73E06"/>
    <w:rsid w:val="00C73F17"/>
    <w:rsid w:val="00C7401E"/>
    <w:rsid w:val="00C75E34"/>
    <w:rsid w:val="00C810E3"/>
    <w:rsid w:val="00C8148B"/>
    <w:rsid w:val="00C82742"/>
    <w:rsid w:val="00C82E46"/>
    <w:rsid w:val="00C84E92"/>
    <w:rsid w:val="00C85BDE"/>
    <w:rsid w:val="00C90AA1"/>
    <w:rsid w:val="00C91F1D"/>
    <w:rsid w:val="00C942C4"/>
    <w:rsid w:val="00C965AF"/>
    <w:rsid w:val="00CA0749"/>
    <w:rsid w:val="00CA0C35"/>
    <w:rsid w:val="00CA0D8B"/>
    <w:rsid w:val="00CA20B9"/>
    <w:rsid w:val="00CA21BB"/>
    <w:rsid w:val="00CA3D8C"/>
    <w:rsid w:val="00CA44C0"/>
    <w:rsid w:val="00CA52C0"/>
    <w:rsid w:val="00CA67E2"/>
    <w:rsid w:val="00CA72C0"/>
    <w:rsid w:val="00CB1330"/>
    <w:rsid w:val="00CB3052"/>
    <w:rsid w:val="00CB570A"/>
    <w:rsid w:val="00CB761B"/>
    <w:rsid w:val="00CC311C"/>
    <w:rsid w:val="00CC4575"/>
    <w:rsid w:val="00CC4D3E"/>
    <w:rsid w:val="00CC570C"/>
    <w:rsid w:val="00CC595F"/>
    <w:rsid w:val="00CC6DE9"/>
    <w:rsid w:val="00CD0626"/>
    <w:rsid w:val="00CD0687"/>
    <w:rsid w:val="00CD10D2"/>
    <w:rsid w:val="00CD204D"/>
    <w:rsid w:val="00CD204E"/>
    <w:rsid w:val="00CD38B8"/>
    <w:rsid w:val="00CD623A"/>
    <w:rsid w:val="00CD759C"/>
    <w:rsid w:val="00CE0A6F"/>
    <w:rsid w:val="00CE3EB9"/>
    <w:rsid w:val="00CE40FD"/>
    <w:rsid w:val="00CE5DB5"/>
    <w:rsid w:val="00CE7268"/>
    <w:rsid w:val="00CE7595"/>
    <w:rsid w:val="00CE7BF1"/>
    <w:rsid w:val="00CE7EF5"/>
    <w:rsid w:val="00CF1267"/>
    <w:rsid w:val="00CF19DB"/>
    <w:rsid w:val="00CF1CA1"/>
    <w:rsid w:val="00CF33C7"/>
    <w:rsid w:val="00CF43A9"/>
    <w:rsid w:val="00CF443D"/>
    <w:rsid w:val="00CF4CB9"/>
    <w:rsid w:val="00CF5EE3"/>
    <w:rsid w:val="00D02AD9"/>
    <w:rsid w:val="00D03193"/>
    <w:rsid w:val="00D04928"/>
    <w:rsid w:val="00D052A1"/>
    <w:rsid w:val="00D07B05"/>
    <w:rsid w:val="00D10443"/>
    <w:rsid w:val="00D111FD"/>
    <w:rsid w:val="00D12620"/>
    <w:rsid w:val="00D136CE"/>
    <w:rsid w:val="00D13EFE"/>
    <w:rsid w:val="00D1683E"/>
    <w:rsid w:val="00D16B36"/>
    <w:rsid w:val="00D2093A"/>
    <w:rsid w:val="00D22BFC"/>
    <w:rsid w:val="00D230D1"/>
    <w:rsid w:val="00D247D2"/>
    <w:rsid w:val="00D2491C"/>
    <w:rsid w:val="00D24B44"/>
    <w:rsid w:val="00D251D4"/>
    <w:rsid w:val="00D263A1"/>
    <w:rsid w:val="00D27F83"/>
    <w:rsid w:val="00D322A8"/>
    <w:rsid w:val="00D3248F"/>
    <w:rsid w:val="00D32ACD"/>
    <w:rsid w:val="00D32D71"/>
    <w:rsid w:val="00D33B67"/>
    <w:rsid w:val="00D343CC"/>
    <w:rsid w:val="00D34D66"/>
    <w:rsid w:val="00D35043"/>
    <w:rsid w:val="00D36266"/>
    <w:rsid w:val="00D36C21"/>
    <w:rsid w:val="00D37045"/>
    <w:rsid w:val="00D40278"/>
    <w:rsid w:val="00D41862"/>
    <w:rsid w:val="00D42647"/>
    <w:rsid w:val="00D43D9B"/>
    <w:rsid w:val="00D43EAF"/>
    <w:rsid w:val="00D457C4"/>
    <w:rsid w:val="00D457CA"/>
    <w:rsid w:val="00D45AF4"/>
    <w:rsid w:val="00D45B60"/>
    <w:rsid w:val="00D45EF3"/>
    <w:rsid w:val="00D46282"/>
    <w:rsid w:val="00D46743"/>
    <w:rsid w:val="00D474F5"/>
    <w:rsid w:val="00D47A18"/>
    <w:rsid w:val="00D47E64"/>
    <w:rsid w:val="00D5581C"/>
    <w:rsid w:val="00D558C3"/>
    <w:rsid w:val="00D55D0E"/>
    <w:rsid w:val="00D6015C"/>
    <w:rsid w:val="00D614F2"/>
    <w:rsid w:val="00D61DBD"/>
    <w:rsid w:val="00D6318C"/>
    <w:rsid w:val="00D63E5F"/>
    <w:rsid w:val="00D642A9"/>
    <w:rsid w:val="00D65F94"/>
    <w:rsid w:val="00D7074C"/>
    <w:rsid w:val="00D7125A"/>
    <w:rsid w:val="00D716B1"/>
    <w:rsid w:val="00D74CCB"/>
    <w:rsid w:val="00D75784"/>
    <w:rsid w:val="00D75A50"/>
    <w:rsid w:val="00D779F6"/>
    <w:rsid w:val="00D80EEC"/>
    <w:rsid w:val="00D814A4"/>
    <w:rsid w:val="00D81922"/>
    <w:rsid w:val="00D81DD6"/>
    <w:rsid w:val="00D8312F"/>
    <w:rsid w:val="00D83C21"/>
    <w:rsid w:val="00D859F4"/>
    <w:rsid w:val="00D90053"/>
    <w:rsid w:val="00D90202"/>
    <w:rsid w:val="00D90213"/>
    <w:rsid w:val="00D91B5B"/>
    <w:rsid w:val="00D95B55"/>
    <w:rsid w:val="00D97267"/>
    <w:rsid w:val="00D97A37"/>
    <w:rsid w:val="00D97E33"/>
    <w:rsid w:val="00DA00D7"/>
    <w:rsid w:val="00DA01DC"/>
    <w:rsid w:val="00DA1B74"/>
    <w:rsid w:val="00DA2422"/>
    <w:rsid w:val="00DA4420"/>
    <w:rsid w:val="00DA4432"/>
    <w:rsid w:val="00DA452C"/>
    <w:rsid w:val="00DA46EB"/>
    <w:rsid w:val="00DA4A15"/>
    <w:rsid w:val="00DA4C15"/>
    <w:rsid w:val="00DB17C1"/>
    <w:rsid w:val="00DB4C50"/>
    <w:rsid w:val="00DB5FBA"/>
    <w:rsid w:val="00DB6F24"/>
    <w:rsid w:val="00DB7531"/>
    <w:rsid w:val="00DC5378"/>
    <w:rsid w:val="00DC74EC"/>
    <w:rsid w:val="00DD1D44"/>
    <w:rsid w:val="00DD342F"/>
    <w:rsid w:val="00DD3A7D"/>
    <w:rsid w:val="00DD52CE"/>
    <w:rsid w:val="00DD7E39"/>
    <w:rsid w:val="00DD7FE9"/>
    <w:rsid w:val="00DE0038"/>
    <w:rsid w:val="00DE16F1"/>
    <w:rsid w:val="00DE291B"/>
    <w:rsid w:val="00DE34A5"/>
    <w:rsid w:val="00DE54E5"/>
    <w:rsid w:val="00DE5561"/>
    <w:rsid w:val="00DF0898"/>
    <w:rsid w:val="00DF091A"/>
    <w:rsid w:val="00DF2A05"/>
    <w:rsid w:val="00DF3BDB"/>
    <w:rsid w:val="00DF5806"/>
    <w:rsid w:val="00DF604E"/>
    <w:rsid w:val="00E00531"/>
    <w:rsid w:val="00E02A5E"/>
    <w:rsid w:val="00E06035"/>
    <w:rsid w:val="00E0648C"/>
    <w:rsid w:val="00E1024C"/>
    <w:rsid w:val="00E1189D"/>
    <w:rsid w:val="00E17921"/>
    <w:rsid w:val="00E207D9"/>
    <w:rsid w:val="00E237F5"/>
    <w:rsid w:val="00E25B5B"/>
    <w:rsid w:val="00E26733"/>
    <w:rsid w:val="00E26E2D"/>
    <w:rsid w:val="00E271EB"/>
    <w:rsid w:val="00E277CA"/>
    <w:rsid w:val="00E27A46"/>
    <w:rsid w:val="00E30742"/>
    <w:rsid w:val="00E32153"/>
    <w:rsid w:val="00E34C67"/>
    <w:rsid w:val="00E37A33"/>
    <w:rsid w:val="00E40D68"/>
    <w:rsid w:val="00E41EBC"/>
    <w:rsid w:val="00E44D89"/>
    <w:rsid w:val="00E44F0B"/>
    <w:rsid w:val="00E46ACE"/>
    <w:rsid w:val="00E51D6A"/>
    <w:rsid w:val="00E52114"/>
    <w:rsid w:val="00E5215F"/>
    <w:rsid w:val="00E525A9"/>
    <w:rsid w:val="00E53555"/>
    <w:rsid w:val="00E53F18"/>
    <w:rsid w:val="00E5594C"/>
    <w:rsid w:val="00E5598D"/>
    <w:rsid w:val="00E56561"/>
    <w:rsid w:val="00E56867"/>
    <w:rsid w:val="00E56C47"/>
    <w:rsid w:val="00E572BD"/>
    <w:rsid w:val="00E61F67"/>
    <w:rsid w:val="00E6333A"/>
    <w:rsid w:val="00E63CB5"/>
    <w:rsid w:val="00E641D8"/>
    <w:rsid w:val="00E64C80"/>
    <w:rsid w:val="00E711CD"/>
    <w:rsid w:val="00E72C61"/>
    <w:rsid w:val="00E72FF2"/>
    <w:rsid w:val="00E736BB"/>
    <w:rsid w:val="00E7489D"/>
    <w:rsid w:val="00E7586C"/>
    <w:rsid w:val="00E761D2"/>
    <w:rsid w:val="00E763B3"/>
    <w:rsid w:val="00E77C63"/>
    <w:rsid w:val="00E81BC1"/>
    <w:rsid w:val="00E8464D"/>
    <w:rsid w:val="00E861C4"/>
    <w:rsid w:val="00E86326"/>
    <w:rsid w:val="00E86C11"/>
    <w:rsid w:val="00E90364"/>
    <w:rsid w:val="00E9105A"/>
    <w:rsid w:val="00E92C7C"/>
    <w:rsid w:val="00E94AED"/>
    <w:rsid w:val="00E94F14"/>
    <w:rsid w:val="00E95675"/>
    <w:rsid w:val="00E95A82"/>
    <w:rsid w:val="00E97B19"/>
    <w:rsid w:val="00E97E06"/>
    <w:rsid w:val="00E97E67"/>
    <w:rsid w:val="00EA1333"/>
    <w:rsid w:val="00EA2634"/>
    <w:rsid w:val="00EA2A72"/>
    <w:rsid w:val="00EA3A23"/>
    <w:rsid w:val="00EA3B22"/>
    <w:rsid w:val="00EA5980"/>
    <w:rsid w:val="00EA6CCB"/>
    <w:rsid w:val="00EB0BBE"/>
    <w:rsid w:val="00EB1562"/>
    <w:rsid w:val="00EB51E0"/>
    <w:rsid w:val="00EB538D"/>
    <w:rsid w:val="00EB607D"/>
    <w:rsid w:val="00EB7BF0"/>
    <w:rsid w:val="00EC138B"/>
    <w:rsid w:val="00EC3F57"/>
    <w:rsid w:val="00EC4FB3"/>
    <w:rsid w:val="00EC5D20"/>
    <w:rsid w:val="00EC5ECD"/>
    <w:rsid w:val="00ED02A3"/>
    <w:rsid w:val="00ED1CD1"/>
    <w:rsid w:val="00ED1CF0"/>
    <w:rsid w:val="00ED24B7"/>
    <w:rsid w:val="00ED3034"/>
    <w:rsid w:val="00ED4FB7"/>
    <w:rsid w:val="00ED577F"/>
    <w:rsid w:val="00ED6261"/>
    <w:rsid w:val="00ED75EE"/>
    <w:rsid w:val="00EE01C2"/>
    <w:rsid w:val="00EE1F35"/>
    <w:rsid w:val="00EE5457"/>
    <w:rsid w:val="00EE65CF"/>
    <w:rsid w:val="00EE7749"/>
    <w:rsid w:val="00EF01D0"/>
    <w:rsid w:val="00EF0DE2"/>
    <w:rsid w:val="00EF1457"/>
    <w:rsid w:val="00EF14DF"/>
    <w:rsid w:val="00EF1507"/>
    <w:rsid w:val="00EF22F8"/>
    <w:rsid w:val="00EF4052"/>
    <w:rsid w:val="00EF5AE3"/>
    <w:rsid w:val="00EF6D47"/>
    <w:rsid w:val="00EF6F8E"/>
    <w:rsid w:val="00F01168"/>
    <w:rsid w:val="00F01DBB"/>
    <w:rsid w:val="00F020D3"/>
    <w:rsid w:val="00F026F6"/>
    <w:rsid w:val="00F02D59"/>
    <w:rsid w:val="00F03565"/>
    <w:rsid w:val="00F04041"/>
    <w:rsid w:val="00F0797B"/>
    <w:rsid w:val="00F07ED3"/>
    <w:rsid w:val="00F104D2"/>
    <w:rsid w:val="00F11B31"/>
    <w:rsid w:val="00F1396C"/>
    <w:rsid w:val="00F13AAE"/>
    <w:rsid w:val="00F1614E"/>
    <w:rsid w:val="00F16403"/>
    <w:rsid w:val="00F17006"/>
    <w:rsid w:val="00F176C8"/>
    <w:rsid w:val="00F20811"/>
    <w:rsid w:val="00F20DBA"/>
    <w:rsid w:val="00F20DCD"/>
    <w:rsid w:val="00F21239"/>
    <w:rsid w:val="00F2229C"/>
    <w:rsid w:val="00F250C0"/>
    <w:rsid w:val="00F26ED5"/>
    <w:rsid w:val="00F278EC"/>
    <w:rsid w:val="00F30326"/>
    <w:rsid w:val="00F3148A"/>
    <w:rsid w:val="00F31B48"/>
    <w:rsid w:val="00F32F86"/>
    <w:rsid w:val="00F3410B"/>
    <w:rsid w:val="00F35241"/>
    <w:rsid w:val="00F367BB"/>
    <w:rsid w:val="00F40C22"/>
    <w:rsid w:val="00F42D06"/>
    <w:rsid w:val="00F436F6"/>
    <w:rsid w:val="00F43903"/>
    <w:rsid w:val="00F467C0"/>
    <w:rsid w:val="00F50649"/>
    <w:rsid w:val="00F51220"/>
    <w:rsid w:val="00F53E6A"/>
    <w:rsid w:val="00F54D65"/>
    <w:rsid w:val="00F555F5"/>
    <w:rsid w:val="00F56234"/>
    <w:rsid w:val="00F56A50"/>
    <w:rsid w:val="00F579C4"/>
    <w:rsid w:val="00F631ED"/>
    <w:rsid w:val="00F65DFF"/>
    <w:rsid w:val="00F66120"/>
    <w:rsid w:val="00F6756E"/>
    <w:rsid w:val="00F676DE"/>
    <w:rsid w:val="00F67FE7"/>
    <w:rsid w:val="00F70597"/>
    <w:rsid w:val="00F72261"/>
    <w:rsid w:val="00F730B2"/>
    <w:rsid w:val="00F7330A"/>
    <w:rsid w:val="00F74232"/>
    <w:rsid w:val="00F74B5E"/>
    <w:rsid w:val="00F750F0"/>
    <w:rsid w:val="00F761B7"/>
    <w:rsid w:val="00F76541"/>
    <w:rsid w:val="00F76FD0"/>
    <w:rsid w:val="00F802C1"/>
    <w:rsid w:val="00F80429"/>
    <w:rsid w:val="00F80F79"/>
    <w:rsid w:val="00F83403"/>
    <w:rsid w:val="00F83789"/>
    <w:rsid w:val="00F838A8"/>
    <w:rsid w:val="00F8463E"/>
    <w:rsid w:val="00F85F95"/>
    <w:rsid w:val="00F86390"/>
    <w:rsid w:val="00F8687E"/>
    <w:rsid w:val="00F86E6D"/>
    <w:rsid w:val="00F86FBE"/>
    <w:rsid w:val="00F87C2D"/>
    <w:rsid w:val="00F9041F"/>
    <w:rsid w:val="00F909A9"/>
    <w:rsid w:val="00F90F78"/>
    <w:rsid w:val="00F92A97"/>
    <w:rsid w:val="00F93FB2"/>
    <w:rsid w:val="00F9576F"/>
    <w:rsid w:val="00F95790"/>
    <w:rsid w:val="00F95D8C"/>
    <w:rsid w:val="00F95DC4"/>
    <w:rsid w:val="00F96016"/>
    <w:rsid w:val="00FA5196"/>
    <w:rsid w:val="00FA76F0"/>
    <w:rsid w:val="00FB0FC3"/>
    <w:rsid w:val="00FB1559"/>
    <w:rsid w:val="00FB4F14"/>
    <w:rsid w:val="00FB57B3"/>
    <w:rsid w:val="00FB6515"/>
    <w:rsid w:val="00FB77A2"/>
    <w:rsid w:val="00FC389E"/>
    <w:rsid w:val="00FC45F2"/>
    <w:rsid w:val="00FC4A8A"/>
    <w:rsid w:val="00FC616D"/>
    <w:rsid w:val="00FC6907"/>
    <w:rsid w:val="00FD0A5F"/>
    <w:rsid w:val="00FD1FF0"/>
    <w:rsid w:val="00FD27CF"/>
    <w:rsid w:val="00FD391F"/>
    <w:rsid w:val="00FD63CA"/>
    <w:rsid w:val="00FE0A64"/>
    <w:rsid w:val="00FE29B4"/>
    <w:rsid w:val="00FE31D6"/>
    <w:rsid w:val="00FE56E7"/>
    <w:rsid w:val="00FE6644"/>
    <w:rsid w:val="00FE7CA4"/>
    <w:rsid w:val="00FF1078"/>
    <w:rsid w:val="00FF17DC"/>
    <w:rsid w:val="00FF2E42"/>
    <w:rsid w:val="00FF390D"/>
    <w:rsid w:val="00FF41F5"/>
    <w:rsid w:val="00FF637B"/>
    <w:rsid w:val="00FF657B"/>
    <w:rsid w:val="00FF6950"/>
    <w:rsid w:val="00FF6FDC"/>
    <w:rsid w:val="00FF784B"/>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66C50-DA8B-4A76-857E-13260E25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link w:val="Heading1Char"/>
    <w:autoRedefine/>
    <w:uiPriority w:val="9"/>
    <w:qFormat/>
    <w:rsid w:val="002D1AB1"/>
    <w:pPr>
      <w:keepNext/>
      <w:keepLines/>
      <w:numPr>
        <w:numId w:val="3"/>
      </w:numPr>
      <w:shd w:val="clear" w:color="auto" w:fill="DBE5F1" w:themeFill="accent1" w:themeFillTint="33"/>
      <w:spacing w:before="240" w:after="0" w:line="259" w:lineRule="auto"/>
      <w:outlineLvl w:val="0"/>
    </w:pPr>
    <w:rPr>
      <w:rFonts w:eastAsiaTheme="majorEastAsia" w:cstheme="majorBidi"/>
      <w:color w:val="365F91" w:themeColor="accent1" w:themeShade="BF"/>
      <w:lang w:eastAsia="en-US"/>
    </w:rPr>
  </w:style>
  <w:style w:type="paragraph" w:styleId="Heading2">
    <w:name w:val="heading 2"/>
    <w:basedOn w:val="Normal"/>
    <w:link w:val="Heading2Char"/>
    <w:autoRedefine/>
    <w:uiPriority w:val="9"/>
    <w:qFormat/>
    <w:rsid w:val="003A7E6F"/>
    <w:pPr>
      <w:keepNext/>
      <w:keepLines/>
      <w:shd w:val="clear" w:color="auto" w:fill="FFFFFF" w:themeFill="background1"/>
      <w:spacing w:before="120" w:after="0" w:line="240" w:lineRule="auto"/>
      <w:jc w:val="both"/>
      <w:outlineLvl w:val="1"/>
    </w:pPr>
    <w:rPr>
      <w:rFonts w:eastAsiaTheme="majorEastAsia" w:cstheme="majorBidi"/>
      <w:b/>
      <w:lang w:eastAsia="en-US"/>
    </w:rPr>
  </w:style>
  <w:style w:type="paragraph" w:styleId="Heading3">
    <w:name w:val="heading 3"/>
    <w:basedOn w:val="Normal"/>
    <w:link w:val="Heading3Char"/>
    <w:uiPriority w:val="9"/>
    <w:qFormat/>
    <w:rsid w:val="00053714"/>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44F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4F5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1E0"/>
    <w:rPr>
      <w:rFonts w:ascii="Tahoma" w:hAnsi="Tahoma" w:cs="Tahoma"/>
      <w:sz w:val="16"/>
      <w:szCs w:val="16"/>
    </w:rPr>
  </w:style>
  <w:style w:type="paragraph" w:styleId="Header">
    <w:name w:val="header"/>
    <w:basedOn w:val="Normal"/>
    <w:link w:val="HeaderChar"/>
    <w:uiPriority w:val="99"/>
    <w:unhideWhenUsed/>
    <w:rsid w:val="00EB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E0"/>
  </w:style>
  <w:style w:type="paragraph" w:styleId="Footer">
    <w:name w:val="footer"/>
    <w:basedOn w:val="Normal"/>
    <w:link w:val="FooterChar"/>
    <w:unhideWhenUsed/>
    <w:rsid w:val="00EB51E0"/>
    <w:pPr>
      <w:tabs>
        <w:tab w:val="center" w:pos="4680"/>
        <w:tab w:val="right" w:pos="9360"/>
      </w:tabs>
      <w:spacing w:after="0" w:line="240" w:lineRule="auto"/>
    </w:pPr>
  </w:style>
  <w:style w:type="character" w:customStyle="1" w:styleId="FooterChar">
    <w:name w:val="Footer Char"/>
    <w:basedOn w:val="DefaultParagraphFont"/>
    <w:link w:val="Footer"/>
    <w:rsid w:val="00EB51E0"/>
  </w:style>
  <w:style w:type="character" w:styleId="CommentReference">
    <w:name w:val="annotation reference"/>
    <w:basedOn w:val="DefaultParagraphFont"/>
    <w:uiPriority w:val="99"/>
    <w:semiHidden/>
    <w:unhideWhenUsed/>
    <w:rsid w:val="005B0493"/>
    <w:rPr>
      <w:sz w:val="16"/>
      <w:szCs w:val="16"/>
    </w:rPr>
  </w:style>
  <w:style w:type="paragraph" w:styleId="CommentText">
    <w:name w:val="annotation text"/>
    <w:basedOn w:val="Normal"/>
    <w:link w:val="CommentTextChar"/>
    <w:uiPriority w:val="99"/>
    <w:semiHidden/>
    <w:unhideWhenUsed/>
    <w:rsid w:val="005B0493"/>
    <w:pPr>
      <w:spacing w:line="240" w:lineRule="auto"/>
    </w:pPr>
    <w:rPr>
      <w:sz w:val="20"/>
      <w:szCs w:val="20"/>
    </w:rPr>
  </w:style>
  <w:style w:type="character" w:customStyle="1" w:styleId="CommentTextChar">
    <w:name w:val="Comment Text Char"/>
    <w:basedOn w:val="DefaultParagraphFont"/>
    <w:link w:val="CommentText"/>
    <w:uiPriority w:val="99"/>
    <w:semiHidden/>
    <w:rsid w:val="005B0493"/>
    <w:rPr>
      <w:sz w:val="20"/>
      <w:szCs w:val="20"/>
    </w:rPr>
  </w:style>
  <w:style w:type="paragraph" w:styleId="CommentSubject">
    <w:name w:val="annotation subject"/>
    <w:basedOn w:val="CommentText"/>
    <w:next w:val="CommentText"/>
    <w:link w:val="CommentSubjectChar"/>
    <w:uiPriority w:val="99"/>
    <w:semiHidden/>
    <w:unhideWhenUsed/>
    <w:rsid w:val="005B0493"/>
    <w:rPr>
      <w:b/>
      <w:bCs/>
    </w:rPr>
  </w:style>
  <w:style w:type="character" w:customStyle="1" w:styleId="CommentSubjectChar">
    <w:name w:val="Comment Subject Char"/>
    <w:basedOn w:val="CommentTextChar"/>
    <w:link w:val="CommentSubject"/>
    <w:uiPriority w:val="99"/>
    <w:semiHidden/>
    <w:rsid w:val="005B0493"/>
    <w:rPr>
      <w:b/>
      <w:bCs/>
      <w:sz w:val="20"/>
      <w:szCs w:val="20"/>
    </w:rPr>
  </w:style>
  <w:style w:type="paragraph" w:customStyle="1" w:styleId="Default">
    <w:name w:val="Default"/>
    <w:rsid w:val="00016337"/>
    <w:pPr>
      <w:autoSpaceDE w:val="0"/>
      <w:autoSpaceDN w:val="0"/>
      <w:adjustRightInd w:val="0"/>
      <w:spacing w:after="0" w:line="240" w:lineRule="auto"/>
    </w:pPr>
    <w:rPr>
      <w:rFonts w:ascii="Gill Sans MT" w:hAnsi="Gill Sans MT" w:cs="Gill Sans MT"/>
      <w:color w:val="000000"/>
      <w:sz w:val="24"/>
      <w:szCs w:val="24"/>
      <w:lang w:val="en-US"/>
    </w:rPr>
  </w:style>
  <w:style w:type="character" w:customStyle="1" w:styleId="Heading1Char">
    <w:name w:val="Heading 1 Char"/>
    <w:basedOn w:val="DefaultParagraphFont"/>
    <w:link w:val="Heading1"/>
    <w:uiPriority w:val="9"/>
    <w:rsid w:val="002D1AB1"/>
    <w:rPr>
      <w:rFonts w:eastAsiaTheme="majorEastAsia" w:cstheme="majorBidi"/>
      <w:color w:val="365F91" w:themeColor="accent1" w:themeShade="BF"/>
      <w:shd w:val="clear" w:color="auto" w:fill="DBE5F1" w:themeFill="accent1" w:themeFillTint="33"/>
      <w:lang w:val="fr-FR" w:eastAsia="en-US"/>
    </w:rPr>
  </w:style>
  <w:style w:type="character" w:customStyle="1" w:styleId="Heading2Char">
    <w:name w:val="Heading 2 Char"/>
    <w:basedOn w:val="DefaultParagraphFont"/>
    <w:link w:val="Heading2"/>
    <w:uiPriority w:val="9"/>
    <w:rsid w:val="003A7E6F"/>
    <w:rPr>
      <w:rFonts w:eastAsiaTheme="majorEastAsia" w:cstheme="majorBidi"/>
      <w:b/>
      <w:shd w:val="clear" w:color="auto" w:fill="FFFFFF" w:themeFill="background1"/>
      <w:lang w:val="fr-FR" w:eastAsia="en-US"/>
    </w:rPr>
  </w:style>
  <w:style w:type="character" w:customStyle="1" w:styleId="Heading3Char">
    <w:name w:val="Heading 3 Char"/>
    <w:basedOn w:val="DefaultParagraphFont"/>
    <w:link w:val="Heading3"/>
    <w:uiPriority w:val="9"/>
    <w:rsid w:val="00053714"/>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unhideWhenUsed/>
    <w:rsid w:val="00053714"/>
    <w:rPr>
      <w:color w:val="0000FF"/>
      <w:u w:val="single"/>
    </w:rPr>
  </w:style>
  <w:style w:type="paragraph" w:styleId="FootnoteText">
    <w:name w:val="footnote text"/>
    <w:aliases w:val="Geneva 9,Font: Geneva 9,Boston 10,f,otnote Text,Footnote,ft,single space,Footnote Text Char1,Footnote Text Char Char,Footnote Text Char1 Char Char,Footnote Text Char Char Char Char,Char Char Char Char Char,Char Char Char,fn,DNV-FT"/>
    <w:basedOn w:val="Normal"/>
    <w:link w:val="FootnoteTextChar"/>
    <w:unhideWhenUsed/>
    <w:rsid w:val="00D46743"/>
    <w:pPr>
      <w:spacing w:after="0" w:line="240" w:lineRule="auto"/>
    </w:pPr>
    <w:rPr>
      <w:sz w:val="20"/>
      <w:szCs w:val="20"/>
    </w:rPr>
  </w:style>
  <w:style w:type="character" w:customStyle="1" w:styleId="FootnoteTextChar">
    <w:name w:val="Footnote Text Char"/>
    <w:aliases w:val="Geneva 9 Char,Font: Geneva 9 Char,Boston 10 Char,f Char,otnote Text Char,Footnote Char,ft Char,single space Char,Footnote Text Char1 Char,Footnote Text Char Char Char,Footnote Text Char1 Char Char Char,Char Char Char Char Char Char"/>
    <w:basedOn w:val="DefaultParagraphFont"/>
    <w:link w:val="FootnoteText"/>
    <w:rsid w:val="00D46743"/>
    <w:rPr>
      <w:sz w:val="20"/>
      <w:szCs w:val="20"/>
    </w:rPr>
  </w:style>
  <w:style w:type="character" w:styleId="FootnoteReference">
    <w:name w:val="footnote reference"/>
    <w:basedOn w:val="DefaultParagraphFont"/>
    <w:uiPriority w:val="99"/>
    <w:semiHidden/>
    <w:unhideWhenUsed/>
    <w:rsid w:val="00D46743"/>
    <w:rPr>
      <w:vertAlign w:val="superscript"/>
    </w:rPr>
  </w:style>
  <w:style w:type="character" w:customStyle="1" w:styleId="e24kjd">
    <w:name w:val="e24kjd"/>
    <w:basedOn w:val="DefaultParagraphFont"/>
    <w:rsid w:val="00504A5E"/>
  </w:style>
  <w:style w:type="paragraph" w:styleId="ListParagraph">
    <w:name w:val="List Paragraph"/>
    <w:aliases w:val="Bullet Points,Enumeration,Heading 2_sj"/>
    <w:basedOn w:val="Normal"/>
    <w:link w:val="ListParagraphChar"/>
    <w:uiPriority w:val="34"/>
    <w:qFormat/>
    <w:rsid w:val="00460E33"/>
    <w:pPr>
      <w:ind w:left="720"/>
      <w:contextualSpacing/>
    </w:pPr>
  </w:style>
  <w:style w:type="character" w:customStyle="1" w:styleId="Heading4Char">
    <w:name w:val="Heading 4 Char"/>
    <w:basedOn w:val="DefaultParagraphFont"/>
    <w:link w:val="Heading4"/>
    <w:uiPriority w:val="9"/>
    <w:semiHidden/>
    <w:rsid w:val="00644F5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44F50"/>
    <w:rPr>
      <w:rFonts w:asciiTheme="majorHAnsi" w:eastAsiaTheme="majorEastAsia" w:hAnsiTheme="majorHAnsi" w:cstheme="majorBidi"/>
      <w:color w:val="365F91" w:themeColor="accent1" w:themeShade="BF"/>
    </w:rPr>
  </w:style>
  <w:style w:type="paragraph" w:styleId="ListBullet">
    <w:name w:val="List Bullet"/>
    <w:basedOn w:val="Normal"/>
    <w:uiPriority w:val="99"/>
    <w:unhideWhenUsed/>
    <w:rsid w:val="00644F50"/>
    <w:pPr>
      <w:numPr>
        <w:numId w:val="1"/>
      </w:numPr>
      <w:contextualSpacing/>
    </w:pPr>
    <w:rPr>
      <w:rFonts w:ascii="Calibri" w:eastAsia="Calibri" w:hAnsi="Calibri" w:cs="Times New Roman"/>
      <w:lang w:eastAsia="en-US"/>
    </w:rPr>
  </w:style>
  <w:style w:type="paragraph" w:styleId="Title">
    <w:name w:val="Title"/>
    <w:basedOn w:val="Normal"/>
    <w:next w:val="Normal"/>
    <w:link w:val="TitleChar"/>
    <w:uiPriority w:val="10"/>
    <w:qFormat/>
    <w:rsid w:val="00644F50"/>
    <w:pPr>
      <w:spacing w:before="240" w:after="600" w:line="240" w:lineRule="auto"/>
      <w:jc w:val="center"/>
    </w:pPr>
    <w:rPr>
      <w:rFonts w:ascii="Calibri" w:eastAsia="Times New Roman" w:hAnsi="Calibri" w:cs="Times New Roman"/>
      <w:spacing w:val="5"/>
      <w:kern w:val="28"/>
      <w:sz w:val="40"/>
      <w:szCs w:val="52"/>
      <w:lang w:val="en-GB" w:eastAsia="en-US"/>
    </w:rPr>
  </w:style>
  <w:style w:type="character" w:customStyle="1" w:styleId="TitleChar">
    <w:name w:val="Title Char"/>
    <w:basedOn w:val="DefaultParagraphFont"/>
    <w:link w:val="Title"/>
    <w:uiPriority w:val="10"/>
    <w:rsid w:val="00644F50"/>
    <w:rPr>
      <w:rFonts w:ascii="Calibri" w:eastAsia="Times New Roman" w:hAnsi="Calibri" w:cs="Times New Roman"/>
      <w:spacing w:val="5"/>
      <w:kern w:val="28"/>
      <w:sz w:val="40"/>
      <w:szCs w:val="52"/>
      <w:lang w:val="en-GB" w:eastAsia="en-US"/>
    </w:rPr>
  </w:style>
  <w:style w:type="table" w:styleId="TableGrid">
    <w:name w:val="Table Grid"/>
    <w:basedOn w:val="TableNormal"/>
    <w:uiPriority w:val="59"/>
    <w:rsid w:val="00644F50"/>
    <w:pPr>
      <w:spacing w:after="0" w:line="240" w:lineRule="auto"/>
    </w:pPr>
    <w:rPr>
      <w:rFonts w:eastAsiaTheme="minorHAnsi"/>
      <w:lang w:val="en-029"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586C"/>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istParagraphChar">
    <w:name w:val="List Paragraph Char"/>
    <w:aliases w:val="Bullet Points Char,Enumeration Char,Heading 2_sj Char"/>
    <w:basedOn w:val="DefaultParagraphFont"/>
    <w:link w:val="ListParagraph"/>
    <w:uiPriority w:val="34"/>
    <w:locked/>
    <w:rsid w:val="004D0383"/>
  </w:style>
  <w:style w:type="character" w:styleId="Emphasis">
    <w:name w:val="Emphasis"/>
    <w:basedOn w:val="DefaultParagraphFont"/>
    <w:uiPriority w:val="20"/>
    <w:qFormat/>
    <w:rsid w:val="008C2030"/>
    <w:rPr>
      <w:i/>
      <w:iCs/>
    </w:rPr>
  </w:style>
  <w:style w:type="paragraph" w:styleId="TOC1">
    <w:name w:val="toc 1"/>
    <w:basedOn w:val="Normal"/>
    <w:next w:val="Normal"/>
    <w:autoRedefine/>
    <w:uiPriority w:val="39"/>
    <w:unhideWhenUsed/>
    <w:rsid w:val="00E72FF2"/>
    <w:pPr>
      <w:tabs>
        <w:tab w:val="left" w:pos="440"/>
        <w:tab w:val="right" w:leader="dot" w:pos="9350"/>
      </w:tabs>
      <w:spacing w:before="120" w:after="120"/>
    </w:pPr>
    <w:rPr>
      <w:b/>
      <w:bCs/>
      <w:caps/>
      <w:sz w:val="20"/>
      <w:szCs w:val="20"/>
    </w:rPr>
  </w:style>
  <w:style w:type="paragraph" w:styleId="TOC2">
    <w:name w:val="toc 2"/>
    <w:basedOn w:val="Normal"/>
    <w:next w:val="Normal"/>
    <w:autoRedefine/>
    <w:uiPriority w:val="39"/>
    <w:unhideWhenUsed/>
    <w:rsid w:val="00252DC1"/>
    <w:pPr>
      <w:spacing w:after="0"/>
      <w:ind w:left="220"/>
    </w:pPr>
    <w:rPr>
      <w:smallCaps/>
      <w:sz w:val="20"/>
      <w:szCs w:val="20"/>
    </w:rPr>
  </w:style>
  <w:style w:type="paragraph" w:styleId="TOC3">
    <w:name w:val="toc 3"/>
    <w:basedOn w:val="Normal"/>
    <w:next w:val="Normal"/>
    <w:autoRedefine/>
    <w:uiPriority w:val="39"/>
    <w:unhideWhenUsed/>
    <w:rsid w:val="00252DC1"/>
    <w:pPr>
      <w:spacing w:after="0"/>
      <w:ind w:left="440"/>
    </w:pPr>
    <w:rPr>
      <w:i/>
      <w:iCs/>
      <w:sz w:val="20"/>
      <w:szCs w:val="20"/>
    </w:rPr>
  </w:style>
  <w:style w:type="paragraph" w:styleId="TOC4">
    <w:name w:val="toc 4"/>
    <w:basedOn w:val="Normal"/>
    <w:next w:val="Normal"/>
    <w:autoRedefine/>
    <w:uiPriority w:val="39"/>
    <w:unhideWhenUsed/>
    <w:rsid w:val="00252DC1"/>
    <w:pPr>
      <w:spacing w:after="0"/>
      <w:ind w:left="660"/>
    </w:pPr>
    <w:rPr>
      <w:sz w:val="18"/>
      <w:szCs w:val="18"/>
    </w:rPr>
  </w:style>
  <w:style w:type="paragraph" w:styleId="TOC5">
    <w:name w:val="toc 5"/>
    <w:basedOn w:val="Normal"/>
    <w:next w:val="Normal"/>
    <w:autoRedefine/>
    <w:uiPriority w:val="39"/>
    <w:unhideWhenUsed/>
    <w:rsid w:val="00252DC1"/>
    <w:pPr>
      <w:spacing w:after="0"/>
      <w:ind w:left="880"/>
    </w:pPr>
    <w:rPr>
      <w:sz w:val="18"/>
      <w:szCs w:val="18"/>
    </w:rPr>
  </w:style>
  <w:style w:type="paragraph" w:styleId="TOC6">
    <w:name w:val="toc 6"/>
    <w:basedOn w:val="Normal"/>
    <w:next w:val="Normal"/>
    <w:autoRedefine/>
    <w:uiPriority w:val="39"/>
    <w:unhideWhenUsed/>
    <w:rsid w:val="00252DC1"/>
    <w:pPr>
      <w:spacing w:after="0"/>
      <w:ind w:left="1100"/>
    </w:pPr>
    <w:rPr>
      <w:sz w:val="18"/>
      <w:szCs w:val="18"/>
    </w:rPr>
  </w:style>
  <w:style w:type="paragraph" w:styleId="TOC7">
    <w:name w:val="toc 7"/>
    <w:basedOn w:val="Normal"/>
    <w:next w:val="Normal"/>
    <w:autoRedefine/>
    <w:uiPriority w:val="39"/>
    <w:unhideWhenUsed/>
    <w:rsid w:val="00252DC1"/>
    <w:pPr>
      <w:spacing w:after="0"/>
      <w:ind w:left="1320"/>
    </w:pPr>
    <w:rPr>
      <w:sz w:val="18"/>
      <w:szCs w:val="18"/>
    </w:rPr>
  </w:style>
  <w:style w:type="paragraph" w:styleId="TOC8">
    <w:name w:val="toc 8"/>
    <w:basedOn w:val="Normal"/>
    <w:next w:val="Normal"/>
    <w:autoRedefine/>
    <w:uiPriority w:val="39"/>
    <w:unhideWhenUsed/>
    <w:rsid w:val="00252DC1"/>
    <w:pPr>
      <w:spacing w:after="0"/>
      <w:ind w:left="1540"/>
    </w:pPr>
    <w:rPr>
      <w:sz w:val="18"/>
      <w:szCs w:val="18"/>
    </w:rPr>
  </w:style>
  <w:style w:type="paragraph" w:styleId="TOC9">
    <w:name w:val="toc 9"/>
    <w:basedOn w:val="Normal"/>
    <w:next w:val="Normal"/>
    <w:autoRedefine/>
    <w:uiPriority w:val="39"/>
    <w:unhideWhenUsed/>
    <w:rsid w:val="00252DC1"/>
    <w:pPr>
      <w:spacing w:after="0"/>
      <w:ind w:left="1760"/>
    </w:pPr>
    <w:rPr>
      <w:sz w:val="18"/>
      <w:szCs w:val="18"/>
    </w:rPr>
  </w:style>
  <w:style w:type="numbering" w:customStyle="1" w:styleId="Style1">
    <w:name w:val="Style1"/>
    <w:uiPriority w:val="99"/>
    <w:rsid w:val="006D6831"/>
    <w:pPr>
      <w:numPr>
        <w:numId w:val="18"/>
      </w:numPr>
    </w:pPr>
  </w:style>
  <w:style w:type="character" w:styleId="Strong">
    <w:name w:val="Strong"/>
    <w:basedOn w:val="DefaultParagraphFont"/>
    <w:uiPriority w:val="22"/>
    <w:qFormat/>
    <w:rsid w:val="00D27F83"/>
    <w:rPr>
      <w:b/>
      <w:bCs/>
    </w:rPr>
  </w:style>
  <w:style w:type="paragraph" w:styleId="NoSpacing">
    <w:name w:val="No Spacing"/>
    <w:uiPriority w:val="1"/>
    <w:qFormat/>
    <w:rsid w:val="00D27F83"/>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4715">
      <w:bodyDiv w:val="1"/>
      <w:marLeft w:val="0"/>
      <w:marRight w:val="0"/>
      <w:marTop w:val="0"/>
      <w:marBottom w:val="0"/>
      <w:divBdr>
        <w:top w:val="none" w:sz="0" w:space="0" w:color="auto"/>
        <w:left w:val="none" w:sz="0" w:space="0" w:color="auto"/>
        <w:bottom w:val="none" w:sz="0" w:space="0" w:color="auto"/>
        <w:right w:val="none" w:sz="0" w:space="0" w:color="auto"/>
      </w:divBdr>
    </w:div>
    <w:div w:id="380447162">
      <w:bodyDiv w:val="1"/>
      <w:marLeft w:val="0"/>
      <w:marRight w:val="0"/>
      <w:marTop w:val="0"/>
      <w:marBottom w:val="0"/>
      <w:divBdr>
        <w:top w:val="none" w:sz="0" w:space="0" w:color="auto"/>
        <w:left w:val="none" w:sz="0" w:space="0" w:color="auto"/>
        <w:bottom w:val="none" w:sz="0" w:space="0" w:color="auto"/>
        <w:right w:val="none" w:sz="0" w:space="0" w:color="auto"/>
      </w:divBdr>
    </w:div>
    <w:div w:id="561252345">
      <w:bodyDiv w:val="1"/>
      <w:marLeft w:val="0"/>
      <w:marRight w:val="0"/>
      <w:marTop w:val="0"/>
      <w:marBottom w:val="0"/>
      <w:divBdr>
        <w:top w:val="none" w:sz="0" w:space="0" w:color="auto"/>
        <w:left w:val="none" w:sz="0" w:space="0" w:color="auto"/>
        <w:bottom w:val="none" w:sz="0" w:space="0" w:color="auto"/>
        <w:right w:val="none" w:sz="0" w:space="0" w:color="auto"/>
      </w:divBdr>
    </w:div>
    <w:div w:id="802891619">
      <w:bodyDiv w:val="1"/>
      <w:marLeft w:val="0"/>
      <w:marRight w:val="0"/>
      <w:marTop w:val="0"/>
      <w:marBottom w:val="0"/>
      <w:divBdr>
        <w:top w:val="none" w:sz="0" w:space="0" w:color="auto"/>
        <w:left w:val="none" w:sz="0" w:space="0" w:color="auto"/>
        <w:bottom w:val="none" w:sz="0" w:space="0" w:color="auto"/>
        <w:right w:val="none" w:sz="0" w:space="0" w:color="auto"/>
      </w:divBdr>
    </w:div>
    <w:div w:id="935596321">
      <w:bodyDiv w:val="1"/>
      <w:marLeft w:val="0"/>
      <w:marRight w:val="0"/>
      <w:marTop w:val="0"/>
      <w:marBottom w:val="0"/>
      <w:divBdr>
        <w:top w:val="none" w:sz="0" w:space="0" w:color="auto"/>
        <w:left w:val="none" w:sz="0" w:space="0" w:color="auto"/>
        <w:bottom w:val="none" w:sz="0" w:space="0" w:color="auto"/>
        <w:right w:val="none" w:sz="0" w:space="0" w:color="auto"/>
      </w:divBdr>
      <w:divsChild>
        <w:div w:id="85149362">
          <w:marLeft w:val="0"/>
          <w:marRight w:val="0"/>
          <w:marTop w:val="0"/>
          <w:marBottom w:val="0"/>
          <w:divBdr>
            <w:top w:val="none" w:sz="0" w:space="0" w:color="auto"/>
            <w:left w:val="none" w:sz="0" w:space="0" w:color="auto"/>
            <w:bottom w:val="none" w:sz="0" w:space="0" w:color="auto"/>
            <w:right w:val="none" w:sz="0" w:space="0" w:color="auto"/>
          </w:divBdr>
          <w:divsChild>
            <w:div w:id="101344990">
              <w:marLeft w:val="0"/>
              <w:marRight w:val="0"/>
              <w:marTop w:val="0"/>
              <w:marBottom w:val="0"/>
              <w:divBdr>
                <w:top w:val="none" w:sz="0" w:space="0" w:color="auto"/>
                <w:left w:val="none" w:sz="0" w:space="0" w:color="auto"/>
                <w:bottom w:val="none" w:sz="0" w:space="0" w:color="auto"/>
                <w:right w:val="none" w:sz="0" w:space="0" w:color="auto"/>
              </w:divBdr>
              <w:divsChild>
                <w:div w:id="1612086221">
                  <w:marLeft w:val="0"/>
                  <w:marRight w:val="0"/>
                  <w:marTop w:val="0"/>
                  <w:marBottom w:val="0"/>
                  <w:divBdr>
                    <w:top w:val="none" w:sz="0" w:space="0" w:color="auto"/>
                    <w:left w:val="none" w:sz="0" w:space="0" w:color="auto"/>
                    <w:bottom w:val="none" w:sz="0" w:space="0" w:color="auto"/>
                    <w:right w:val="none" w:sz="0" w:space="0" w:color="auto"/>
                  </w:divBdr>
                  <w:divsChild>
                    <w:div w:id="1977490443">
                      <w:marLeft w:val="2250"/>
                      <w:marRight w:val="3960"/>
                      <w:marTop w:val="0"/>
                      <w:marBottom w:val="0"/>
                      <w:divBdr>
                        <w:top w:val="none" w:sz="0" w:space="0" w:color="auto"/>
                        <w:left w:val="none" w:sz="0" w:space="0" w:color="auto"/>
                        <w:bottom w:val="none" w:sz="0" w:space="0" w:color="auto"/>
                        <w:right w:val="none" w:sz="0" w:space="0" w:color="auto"/>
                      </w:divBdr>
                      <w:divsChild>
                        <w:div w:id="2056617806">
                          <w:marLeft w:val="0"/>
                          <w:marRight w:val="0"/>
                          <w:marTop w:val="0"/>
                          <w:marBottom w:val="0"/>
                          <w:divBdr>
                            <w:top w:val="none" w:sz="0" w:space="0" w:color="auto"/>
                            <w:left w:val="none" w:sz="0" w:space="0" w:color="auto"/>
                            <w:bottom w:val="none" w:sz="0" w:space="0" w:color="auto"/>
                            <w:right w:val="none" w:sz="0" w:space="0" w:color="auto"/>
                          </w:divBdr>
                          <w:divsChild>
                            <w:div w:id="1044867820">
                              <w:marLeft w:val="0"/>
                              <w:marRight w:val="0"/>
                              <w:marTop w:val="0"/>
                              <w:marBottom w:val="0"/>
                              <w:divBdr>
                                <w:top w:val="none" w:sz="0" w:space="0" w:color="auto"/>
                                <w:left w:val="none" w:sz="0" w:space="0" w:color="auto"/>
                                <w:bottom w:val="none" w:sz="0" w:space="0" w:color="auto"/>
                                <w:right w:val="none" w:sz="0" w:space="0" w:color="auto"/>
                              </w:divBdr>
                              <w:divsChild>
                                <w:div w:id="303856103">
                                  <w:marLeft w:val="0"/>
                                  <w:marRight w:val="0"/>
                                  <w:marTop w:val="0"/>
                                  <w:marBottom w:val="0"/>
                                  <w:divBdr>
                                    <w:top w:val="none" w:sz="0" w:space="0" w:color="auto"/>
                                    <w:left w:val="none" w:sz="0" w:space="0" w:color="auto"/>
                                    <w:bottom w:val="none" w:sz="0" w:space="0" w:color="auto"/>
                                    <w:right w:val="none" w:sz="0" w:space="0" w:color="auto"/>
                                  </w:divBdr>
                                  <w:divsChild>
                                    <w:div w:id="252277248">
                                      <w:marLeft w:val="0"/>
                                      <w:marRight w:val="0"/>
                                      <w:marTop w:val="90"/>
                                      <w:marBottom w:val="0"/>
                                      <w:divBdr>
                                        <w:top w:val="none" w:sz="0" w:space="0" w:color="auto"/>
                                        <w:left w:val="none" w:sz="0" w:space="0" w:color="auto"/>
                                        <w:bottom w:val="none" w:sz="0" w:space="0" w:color="auto"/>
                                        <w:right w:val="none" w:sz="0" w:space="0" w:color="auto"/>
                                      </w:divBdr>
                                      <w:divsChild>
                                        <w:div w:id="1693452579">
                                          <w:marLeft w:val="0"/>
                                          <w:marRight w:val="0"/>
                                          <w:marTop w:val="0"/>
                                          <w:marBottom w:val="0"/>
                                          <w:divBdr>
                                            <w:top w:val="none" w:sz="0" w:space="0" w:color="auto"/>
                                            <w:left w:val="none" w:sz="0" w:space="0" w:color="auto"/>
                                            <w:bottom w:val="none" w:sz="0" w:space="0" w:color="auto"/>
                                            <w:right w:val="none" w:sz="0" w:space="0" w:color="auto"/>
                                          </w:divBdr>
                                          <w:divsChild>
                                            <w:div w:id="323358056">
                                              <w:marLeft w:val="0"/>
                                              <w:marRight w:val="0"/>
                                              <w:marTop w:val="0"/>
                                              <w:marBottom w:val="0"/>
                                              <w:divBdr>
                                                <w:top w:val="none" w:sz="0" w:space="0" w:color="auto"/>
                                                <w:left w:val="none" w:sz="0" w:space="0" w:color="auto"/>
                                                <w:bottom w:val="none" w:sz="0" w:space="0" w:color="auto"/>
                                                <w:right w:val="none" w:sz="0" w:space="0" w:color="auto"/>
                                              </w:divBdr>
                                              <w:divsChild>
                                                <w:div w:id="912740161">
                                                  <w:marLeft w:val="0"/>
                                                  <w:marRight w:val="0"/>
                                                  <w:marTop w:val="0"/>
                                                  <w:marBottom w:val="0"/>
                                                  <w:divBdr>
                                                    <w:top w:val="none" w:sz="0" w:space="0" w:color="auto"/>
                                                    <w:left w:val="none" w:sz="0" w:space="0" w:color="auto"/>
                                                    <w:bottom w:val="none" w:sz="0" w:space="0" w:color="auto"/>
                                                    <w:right w:val="none" w:sz="0" w:space="0" w:color="auto"/>
                                                  </w:divBdr>
                                                  <w:divsChild>
                                                    <w:div w:id="468787103">
                                                      <w:marLeft w:val="0"/>
                                                      <w:marRight w:val="0"/>
                                                      <w:marTop w:val="0"/>
                                                      <w:marBottom w:val="390"/>
                                                      <w:divBdr>
                                                        <w:top w:val="none" w:sz="0" w:space="0" w:color="auto"/>
                                                        <w:left w:val="none" w:sz="0" w:space="0" w:color="auto"/>
                                                        <w:bottom w:val="none" w:sz="0" w:space="0" w:color="auto"/>
                                                        <w:right w:val="none" w:sz="0" w:space="0" w:color="auto"/>
                                                      </w:divBdr>
                                                      <w:divsChild>
                                                        <w:div w:id="882864257">
                                                          <w:marLeft w:val="0"/>
                                                          <w:marRight w:val="0"/>
                                                          <w:marTop w:val="0"/>
                                                          <w:marBottom w:val="0"/>
                                                          <w:divBdr>
                                                            <w:top w:val="none" w:sz="0" w:space="0" w:color="auto"/>
                                                            <w:left w:val="none" w:sz="0" w:space="0" w:color="auto"/>
                                                            <w:bottom w:val="none" w:sz="0" w:space="0" w:color="auto"/>
                                                            <w:right w:val="none" w:sz="0" w:space="0" w:color="auto"/>
                                                          </w:divBdr>
                                                          <w:divsChild>
                                                            <w:div w:id="1298991106">
                                                              <w:marLeft w:val="0"/>
                                                              <w:marRight w:val="0"/>
                                                              <w:marTop w:val="0"/>
                                                              <w:marBottom w:val="0"/>
                                                              <w:divBdr>
                                                                <w:top w:val="none" w:sz="0" w:space="0" w:color="auto"/>
                                                                <w:left w:val="none" w:sz="0" w:space="0" w:color="auto"/>
                                                                <w:bottom w:val="none" w:sz="0" w:space="0" w:color="auto"/>
                                                                <w:right w:val="none" w:sz="0" w:space="0" w:color="auto"/>
                                                              </w:divBdr>
                                                              <w:divsChild>
                                                                <w:div w:id="4201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108085">
          <w:marLeft w:val="0"/>
          <w:marRight w:val="0"/>
          <w:marTop w:val="0"/>
          <w:marBottom w:val="0"/>
          <w:divBdr>
            <w:top w:val="none" w:sz="0" w:space="0" w:color="auto"/>
            <w:left w:val="none" w:sz="0" w:space="0" w:color="auto"/>
            <w:bottom w:val="none" w:sz="0" w:space="0" w:color="auto"/>
            <w:right w:val="none" w:sz="0" w:space="0" w:color="auto"/>
          </w:divBdr>
          <w:divsChild>
            <w:div w:id="1551645931">
              <w:marLeft w:val="0"/>
              <w:marRight w:val="0"/>
              <w:marTop w:val="0"/>
              <w:marBottom w:val="0"/>
              <w:divBdr>
                <w:top w:val="none" w:sz="0" w:space="0" w:color="auto"/>
                <w:left w:val="none" w:sz="0" w:space="0" w:color="auto"/>
                <w:bottom w:val="none" w:sz="0" w:space="0" w:color="auto"/>
                <w:right w:val="none" w:sz="0" w:space="0" w:color="auto"/>
              </w:divBdr>
              <w:divsChild>
                <w:div w:id="758868218">
                  <w:marLeft w:val="0"/>
                  <w:marRight w:val="0"/>
                  <w:marTop w:val="0"/>
                  <w:marBottom w:val="0"/>
                  <w:divBdr>
                    <w:top w:val="none" w:sz="0" w:space="0" w:color="auto"/>
                    <w:left w:val="none" w:sz="0" w:space="0" w:color="auto"/>
                    <w:bottom w:val="none" w:sz="0" w:space="0" w:color="auto"/>
                    <w:right w:val="none" w:sz="0" w:space="0" w:color="auto"/>
                  </w:divBdr>
                  <w:divsChild>
                    <w:div w:id="851143201">
                      <w:marLeft w:val="2250"/>
                      <w:marRight w:val="0"/>
                      <w:marTop w:val="0"/>
                      <w:marBottom w:val="0"/>
                      <w:divBdr>
                        <w:top w:val="none" w:sz="0" w:space="0" w:color="auto"/>
                        <w:left w:val="none" w:sz="0" w:space="0" w:color="auto"/>
                        <w:bottom w:val="none" w:sz="0" w:space="0" w:color="auto"/>
                        <w:right w:val="none" w:sz="0" w:space="0" w:color="auto"/>
                      </w:divBdr>
                      <w:divsChild>
                        <w:div w:id="894656637">
                          <w:marLeft w:val="0"/>
                          <w:marRight w:val="0"/>
                          <w:marTop w:val="0"/>
                          <w:marBottom w:val="0"/>
                          <w:divBdr>
                            <w:top w:val="none" w:sz="0" w:space="0" w:color="auto"/>
                            <w:left w:val="none" w:sz="0" w:space="0" w:color="auto"/>
                            <w:bottom w:val="none" w:sz="0" w:space="0" w:color="auto"/>
                            <w:right w:val="none" w:sz="0" w:space="0" w:color="auto"/>
                          </w:divBdr>
                          <w:divsChild>
                            <w:div w:id="1992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43535">
      <w:bodyDiv w:val="1"/>
      <w:marLeft w:val="0"/>
      <w:marRight w:val="0"/>
      <w:marTop w:val="0"/>
      <w:marBottom w:val="0"/>
      <w:divBdr>
        <w:top w:val="none" w:sz="0" w:space="0" w:color="auto"/>
        <w:left w:val="none" w:sz="0" w:space="0" w:color="auto"/>
        <w:bottom w:val="none" w:sz="0" w:space="0" w:color="auto"/>
        <w:right w:val="none" w:sz="0" w:space="0" w:color="auto"/>
      </w:divBdr>
    </w:div>
    <w:div w:id="12008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paw.com/private/tender/192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valjm@il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30A0-727D-4622-B40A-93C97C57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12107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NS_Pour-FOPRODER</dc:creator>
  <cp:keywords/>
  <dc:description/>
  <cp:lastModifiedBy>Valmy, Daphney</cp:lastModifiedBy>
  <cp:revision>2</cp:revision>
  <cp:lastPrinted>2015-12-03T14:45:00Z</cp:lastPrinted>
  <dcterms:created xsi:type="dcterms:W3CDTF">2019-08-02T18:32:00Z</dcterms:created>
  <dcterms:modified xsi:type="dcterms:W3CDTF">2019-08-02T18:32:00Z</dcterms:modified>
</cp:coreProperties>
</file>