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C7FE1C" w14:textId="054E81F2" w:rsidR="00504D62" w:rsidRPr="00321A4B" w:rsidRDefault="00504D62" w:rsidP="00504D62">
      <w:pPr>
        <w:jc w:val="center"/>
        <w:rPr>
          <w:rFonts w:ascii="Times New Roman" w:hAnsi="Times New Roman" w:cs="Times New Roman"/>
          <w:b/>
          <w:sz w:val="28"/>
          <w:lang w:val="fr-CA"/>
        </w:rPr>
      </w:pPr>
      <w:bookmarkStart w:id="0" w:name="_Hlk517717437"/>
      <w:bookmarkStart w:id="1" w:name="_GoBack"/>
      <w:bookmarkEnd w:id="1"/>
      <w:r w:rsidRPr="00321A4B">
        <w:rPr>
          <w:rFonts w:ascii="Times New Roman" w:hAnsi="Times New Roman" w:cs="Times New Roman"/>
          <w:b/>
          <w:sz w:val="28"/>
          <w:lang w:val="fr-CA"/>
        </w:rPr>
        <w:t>SECTION</w:t>
      </w:r>
      <w:r w:rsidR="00321A4B">
        <w:rPr>
          <w:rFonts w:ascii="Times New Roman" w:hAnsi="Times New Roman" w:cs="Times New Roman"/>
          <w:b/>
          <w:sz w:val="28"/>
          <w:lang w:val="fr-CA"/>
        </w:rPr>
        <w:t> </w:t>
      </w:r>
      <w:r w:rsidRPr="00321A4B">
        <w:rPr>
          <w:rFonts w:ascii="Times New Roman" w:hAnsi="Times New Roman" w:cs="Times New Roman"/>
          <w:b/>
          <w:sz w:val="28"/>
          <w:lang w:val="fr-CA"/>
        </w:rPr>
        <w:t>0</w:t>
      </w:r>
      <w:r w:rsidR="00321A4B" w:rsidRPr="00321A4B">
        <w:rPr>
          <w:rFonts w:ascii="Times New Roman" w:hAnsi="Times New Roman" w:cs="Times New Roman"/>
          <w:b/>
          <w:sz w:val="28"/>
          <w:lang w:val="fr-CA"/>
        </w:rPr>
        <w:t>1</w:t>
      </w:r>
      <w:r w:rsidRPr="00321A4B">
        <w:rPr>
          <w:rFonts w:ascii="Times New Roman" w:hAnsi="Times New Roman" w:cs="Times New Roman"/>
          <w:b/>
          <w:sz w:val="28"/>
          <w:lang w:val="fr-CA"/>
        </w:rPr>
        <w:t xml:space="preserve"> </w:t>
      </w:r>
      <w:r w:rsidR="00321A4B" w:rsidRPr="00321A4B">
        <w:rPr>
          <w:rFonts w:ascii="Times New Roman" w:hAnsi="Times New Roman" w:cs="Times New Roman"/>
          <w:b/>
          <w:sz w:val="28"/>
          <w:lang w:val="fr-CA"/>
        </w:rPr>
        <w:t>77</w:t>
      </w:r>
      <w:r w:rsidRPr="00321A4B">
        <w:rPr>
          <w:rFonts w:ascii="Times New Roman" w:hAnsi="Times New Roman" w:cs="Times New Roman"/>
          <w:b/>
          <w:sz w:val="28"/>
          <w:lang w:val="fr-CA"/>
        </w:rPr>
        <w:t xml:space="preserve"> 00</w:t>
      </w:r>
    </w:p>
    <w:p w14:paraId="6D6C4A84" w14:textId="77777777" w:rsidR="00504D62" w:rsidRPr="00321A4B" w:rsidRDefault="00504D62" w:rsidP="00504D62">
      <w:pPr>
        <w:jc w:val="center"/>
        <w:rPr>
          <w:rFonts w:ascii="Times New Roman" w:hAnsi="Times New Roman" w:cs="Times New Roman"/>
          <w:b/>
          <w:sz w:val="28"/>
          <w:lang w:val="fr-CA"/>
        </w:rPr>
      </w:pPr>
      <w:r w:rsidRPr="00321A4B">
        <w:rPr>
          <w:rFonts w:ascii="Times New Roman" w:hAnsi="Times New Roman" w:cs="Times New Roman"/>
          <w:b/>
          <w:sz w:val="28"/>
          <w:lang w:val="fr-CA"/>
        </w:rPr>
        <w:t>Procédure de clôture</w:t>
      </w:r>
    </w:p>
    <w:bookmarkEnd w:id="0"/>
    <w:p w14:paraId="6E739BB1" w14:textId="4DA17E3B" w:rsidR="00504D62" w:rsidRPr="00321A4B" w:rsidRDefault="00504D62" w:rsidP="00504D62">
      <w:pPr>
        <w:spacing w:after="0"/>
        <w:rPr>
          <w:rFonts w:ascii="Times New Roman" w:hAnsi="Times New Roman" w:cs="Times New Roman"/>
          <w:b/>
          <w:color w:val="000000" w:themeColor="text1"/>
          <w:lang w:val="fr-CA"/>
        </w:rPr>
      </w:pPr>
      <w:r w:rsidRPr="00321A4B">
        <w:rPr>
          <w:rFonts w:ascii="Times New Roman" w:hAnsi="Times New Roman" w:cs="Times New Roman"/>
          <w:b/>
          <w:lang w:val="fr-CA"/>
        </w:rPr>
        <w:t>PA</w:t>
      </w:r>
      <w:r w:rsidRPr="00321A4B">
        <w:rPr>
          <w:rFonts w:ascii="Times New Roman" w:hAnsi="Times New Roman" w:cs="Times New Roman"/>
          <w:b/>
          <w:color w:val="000000" w:themeColor="text1"/>
          <w:lang w:val="fr-CA"/>
        </w:rPr>
        <w:t>RTIE</w:t>
      </w:r>
      <w:r w:rsidR="00321A4B">
        <w:rPr>
          <w:rFonts w:ascii="Times New Roman" w:hAnsi="Times New Roman" w:cs="Times New Roman"/>
          <w:b/>
          <w:color w:val="000000" w:themeColor="text1"/>
          <w:lang w:val="fr-CA"/>
        </w:rPr>
        <w:t> </w:t>
      </w:r>
      <w:r w:rsidRPr="00321A4B">
        <w:rPr>
          <w:rFonts w:ascii="Times New Roman" w:hAnsi="Times New Roman" w:cs="Times New Roman"/>
          <w:b/>
          <w:color w:val="000000" w:themeColor="text1"/>
          <w:lang w:val="fr-CA"/>
        </w:rPr>
        <w:t xml:space="preserve">1 </w:t>
      </w:r>
      <w:r w:rsidR="00321A4B">
        <w:rPr>
          <w:rFonts w:ascii="Times New Roman" w:hAnsi="Times New Roman" w:cs="Times New Roman"/>
          <w:b/>
          <w:color w:val="000000" w:themeColor="text1"/>
          <w:lang w:val="fr-CA"/>
        </w:rPr>
        <w:t>—</w:t>
      </w:r>
      <w:r w:rsidRPr="00321A4B">
        <w:rPr>
          <w:rFonts w:ascii="Times New Roman" w:hAnsi="Times New Roman" w:cs="Times New Roman"/>
          <w:b/>
          <w:color w:val="000000" w:themeColor="text1"/>
          <w:lang w:val="fr-CA"/>
        </w:rPr>
        <w:t xml:space="preserve"> GÉNÉRAL</w:t>
      </w:r>
      <w:r w:rsidR="002665EB">
        <w:rPr>
          <w:rFonts w:ascii="Times New Roman" w:hAnsi="Times New Roman" w:cs="Times New Roman"/>
          <w:b/>
          <w:color w:val="000000" w:themeColor="text1"/>
          <w:lang w:val="fr-CA"/>
        </w:rPr>
        <w:t>ITÉS</w:t>
      </w:r>
    </w:p>
    <w:p w14:paraId="6428CB50" w14:textId="77777777" w:rsidR="00504D62" w:rsidRPr="00321A4B" w:rsidRDefault="00504D62" w:rsidP="00504D62">
      <w:pPr>
        <w:spacing w:after="0"/>
        <w:rPr>
          <w:rFonts w:ascii="Times New Roman" w:hAnsi="Times New Roman" w:cs="Times New Roman"/>
          <w:b/>
          <w:color w:val="000000" w:themeColor="text1"/>
          <w:lang w:val="fr-CA"/>
        </w:rPr>
      </w:pPr>
    </w:p>
    <w:p w14:paraId="0C0C9934" w14:textId="77777777" w:rsidR="00504D62" w:rsidRPr="00321A4B" w:rsidRDefault="00504D62" w:rsidP="00504D62">
      <w:pPr>
        <w:pStyle w:val="Heading1"/>
        <w:keepNext w:val="0"/>
        <w:keepLines w:val="0"/>
        <w:numPr>
          <w:ilvl w:val="0"/>
          <w:numId w:val="1"/>
        </w:numPr>
        <w:spacing w:before="120"/>
        <w:ind w:left="450" w:hanging="450"/>
        <w:rPr>
          <w:lang w:val="fr-CA"/>
        </w:rPr>
      </w:pPr>
      <w:r w:rsidRPr="00321A4B">
        <w:rPr>
          <w:lang w:val="fr-CA"/>
        </w:rPr>
        <w:t>RÉSUMÉ</w:t>
      </w:r>
    </w:p>
    <w:p w14:paraId="5A5E0AE6" w14:textId="1CA0331B" w:rsidR="00504D62" w:rsidRPr="00321A4B" w:rsidRDefault="00F208A9" w:rsidP="00504D62">
      <w:pPr>
        <w:pStyle w:val="Heading1"/>
        <w:numPr>
          <w:ilvl w:val="1"/>
          <w:numId w:val="1"/>
        </w:numPr>
        <w:rPr>
          <w:lang w:val="fr-CA"/>
        </w:rPr>
      </w:pPr>
      <w:r>
        <w:rPr>
          <w:lang w:val="fr-CA"/>
        </w:rPr>
        <w:t>Cette s</w:t>
      </w:r>
      <w:r w:rsidR="00504D62" w:rsidRPr="00321A4B">
        <w:rPr>
          <w:lang w:val="fr-CA"/>
        </w:rPr>
        <w:t xml:space="preserve">ection </w:t>
      </w:r>
      <w:r w:rsidR="00B076C7">
        <w:rPr>
          <w:lang w:val="fr-CA"/>
        </w:rPr>
        <w:t>i</w:t>
      </w:r>
      <w:r w:rsidR="00504D62" w:rsidRPr="00321A4B">
        <w:rPr>
          <w:lang w:val="fr-CA"/>
        </w:rPr>
        <w:t>nclut</w:t>
      </w:r>
      <w:r w:rsidR="00321A4B">
        <w:rPr>
          <w:lang w:val="fr-CA"/>
        </w:rPr>
        <w:t> </w:t>
      </w:r>
      <w:r w:rsidR="00504D62" w:rsidRPr="00321A4B">
        <w:rPr>
          <w:lang w:val="fr-CA"/>
        </w:rPr>
        <w:t>: Exigences administratives et procédurales pour la clôture du contrat de sous-traitance, y compris, mais sans s</w:t>
      </w:r>
      <w:r w:rsidR="00321A4B">
        <w:rPr>
          <w:lang w:val="fr-CA"/>
        </w:rPr>
        <w:t>’</w:t>
      </w:r>
      <w:r w:rsidR="00504D62" w:rsidRPr="00321A4B">
        <w:rPr>
          <w:lang w:val="fr-CA"/>
        </w:rPr>
        <w:t xml:space="preserve">y limiter, </w:t>
      </w:r>
      <w:r w:rsidR="00DD2F36">
        <w:rPr>
          <w:lang w:val="fr-CA"/>
        </w:rPr>
        <w:t xml:space="preserve">à </w:t>
      </w:r>
      <w:r w:rsidR="00504D62" w:rsidRPr="00321A4B">
        <w:rPr>
          <w:lang w:val="fr-CA"/>
        </w:rPr>
        <w:t>ce qui suit</w:t>
      </w:r>
      <w:r w:rsidR="00321A4B">
        <w:rPr>
          <w:lang w:val="fr-CA"/>
        </w:rPr>
        <w:t> </w:t>
      </w:r>
      <w:r w:rsidR="00504D62" w:rsidRPr="00321A4B">
        <w:rPr>
          <w:lang w:val="fr-CA"/>
        </w:rPr>
        <w:t xml:space="preserve">: </w:t>
      </w:r>
    </w:p>
    <w:p w14:paraId="64D4FD6F" w14:textId="75F591DA" w:rsidR="00504D62" w:rsidRPr="00321A4B" w:rsidRDefault="00504D62" w:rsidP="00504D62">
      <w:pPr>
        <w:pStyle w:val="Heading3"/>
        <w:keepNext w:val="0"/>
        <w:keepLines w:val="0"/>
        <w:numPr>
          <w:ilvl w:val="2"/>
          <w:numId w:val="4"/>
        </w:numPr>
        <w:rPr>
          <w:lang w:val="fr-CA"/>
        </w:rPr>
      </w:pPr>
      <w:r w:rsidRPr="00321A4B">
        <w:rPr>
          <w:lang w:val="fr-CA"/>
        </w:rPr>
        <w:t xml:space="preserve">Ensemble(s) de soumission de documents </w:t>
      </w:r>
      <w:r w:rsidR="001B7151">
        <w:rPr>
          <w:lang w:val="fr-CA"/>
        </w:rPr>
        <w:t xml:space="preserve">de compte-rendu </w:t>
      </w:r>
      <w:r w:rsidRPr="00321A4B">
        <w:rPr>
          <w:lang w:val="fr-CA"/>
        </w:rPr>
        <w:t>de projet.</w:t>
      </w:r>
    </w:p>
    <w:p w14:paraId="5A0B6A08" w14:textId="008D5D32" w:rsidR="00504D62" w:rsidRPr="00321A4B" w:rsidRDefault="00504D62" w:rsidP="00504D62">
      <w:pPr>
        <w:pStyle w:val="Heading3"/>
        <w:keepNext w:val="0"/>
        <w:keepLines w:val="0"/>
        <w:numPr>
          <w:ilvl w:val="2"/>
          <w:numId w:val="4"/>
        </w:numPr>
        <w:rPr>
          <w:lang w:val="fr-CA"/>
        </w:rPr>
      </w:pPr>
      <w:r w:rsidRPr="00321A4B">
        <w:rPr>
          <w:lang w:val="fr-CA"/>
        </w:rPr>
        <w:t>Ensemble(s) de documents à soumettre pour l</w:t>
      </w:r>
      <w:r w:rsidR="00321A4B">
        <w:rPr>
          <w:lang w:val="fr-CA"/>
        </w:rPr>
        <w:t>’</w:t>
      </w:r>
      <w:r w:rsidRPr="00321A4B">
        <w:rPr>
          <w:lang w:val="fr-CA"/>
        </w:rPr>
        <w:t>exploitation et l</w:t>
      </w:r>
      <w:r w:rsidR="00321A4B">
        <w:rPr>
          <w:lang w:val="fr-CA"/>
        </w:rPr>
        <w:t>’</w:t>
      </w:r>
      <w:r w:rsidRPr="00321A4B">
        <w:rPr>
          <w:lang w:val="fr-CA"/>
        </w:rPr>
        <w:t>entretien manuel(s).</w:t>
      </w:r>
    </w:p>
    <w:p w14:paraId="02EFA587" w14:textId="1FBBBF03" w:rsidR="00504D62" w:rsidRPr="00321A4B" w:rsidRDefault="00504D62" w:rsidP="00504D62">
      <w:pPr>
        <w:pStyle w:val="Heading3"/>
        <w:keepNext w:val="0"/>
        <w:keepLines w:val="0"/>
        <w:numPr>
          <w:ilvl w:val="2"/>
          <w:numId w:val="4"/>
        </w:numPr>
        <w:rPr>
          <w:lang w:val="fr-CA"/>
        </w:rPr>
      </w:pPr>
      <w:r w:rsidRPr="00321A4B">
        <w:rPr>
          <w:lang w:val="fr-CA"/>
        </w:rPr>
        <w:t>Soumission d</w:t>
      </w:r>
      <w:r w:rsidR="00321A4B">
        <w:rPr>
          <w:lang w:val="fr-CA"/>
        </w:rPr>
        <w:t>’</w:t>
      </w:r>
      <w:r w:rsidRPr="00321A4B">
        <w:rPr>
          <w:lang w:val="fr-CA"/>
        </w:rPr>
        <w:t>un ensemble de garanties.</w:t>
      </w:r>
    </w:p>
    <w:p w14:paraId="3EADDFBE" w14:textId="77777777" w:rsidR="00504D62" w:rsidRPr="00321A4B" w:rsidRDefault="00504D62" w:rsidP="00504D62">
      <w:pPr>
        <w:pStyle w:val="Heading1"/>
        <w:keepNext w:val="0"/>
        <w:keepLines w:val="0"/>
        <w:numPr>
          <w:ilvl w:val="0"/>
          <w:numId w:val="1"/>
        </w:numPr>
        <w:ind w:left="450" w:hanging="450"/>
        <w:rPr>
          <w:lang w:val="fr-CA"/>
        </w:rPr>
      </w:pPr>
      <w:r w:rsidRPr="00321A4B">
        <w:rPr>
          <w:lang w:val="fr-CA"/>
        </w:rPr>
        <w:t>SECTIONS CONNEXES</w:t>
      </w:r>
    </w:p>
    <w:p w14:paraId="2F6D629B" w14:textId="134E300C" w:rsidR="00504D62" w:rsidRPr="00321A4B" w:rsidRDefault="00504D62" w:rsidP="00504D62">
      <w:pPr>
        <w:pStyle w:val="Heading2"/>
        <w:keepNext w:val="0"/>
        <w:keepLines w:val="0"/>
        <w:numPr>
          <w:ilvl w:val="1"/>
          <w:numId w:val="5"/>
        </w:numPr>
        <w:ind w:left="1080" w:hanging="360"/>
        <w:rPr>
          <w:lang w:val="fr-CA"/>
        </w:rPr>
      </w:pPr>
      <w:bookmarkStart w:id="2" w:name="_Hlk460866"/>
      <w:r w:rsidRPr="00321A4B">
        <w:rPr>
          <w:lang w:val="fr-CA"/>
        </w:rPr>
        <w:t>Section</w:t>
      </w:r>
      <w:r w:rsidR="00321A4B">
        <w:rPr>
          <w:lang w:val="fr-CA"/>
        </w:rPr>
        <w:t> </w:t>
      </w:r>
      <w:r w:rsidRPr="00321A4B">
        <w:rPr>
          <w:lang w:val="fr-CA"/>
        </w:rPr>
        <w:t xml:space="preserve">00 70 00 </w:t>
      </w:r>
      <w:r w:rsidRPr="00E541F8">
        <w:rPr>
          <w:i/>
          <w:lang w:val="fr-CA"/>
        </w:rPr>
        <w:t xml:space="preserve">General Conditions &amp; Infrastructure </w:t>
      </w:r>
      <w:proofErr w:type="spellStart"/>
      <w:r w:rsidRPr="00E541F8">
        <w:rPr>
          <w:i/>
          <w:lang w:val="fr-CA"/>
        </w:rPr>
        <w:t>Fixed</w:t>
      </w:r>
      <w:proofErr w:type="spellEnd"/>
      <w:r w:rsidRPr="00E541F8">
        <w:rPr>
          <w:i/>
          <w:lang w:val="fr-CA"/>
        </w:rPr>
        <w:t xml:space="preserve"> Price Unit Price </w:t>
      </w:r>
      <w:proofErr w:type="spellStart"/>
      <w:r w:rsidRPr="00E541F8">
        <w:rPr>
          <w:i/>
          <w:lang w:val="fr-CA"/>
        </w:rPr>
        <w:t>Subcontract</w:t>
      </w:r>
      <w:proofErr w:type="spellEnd"/>
      <w:r w:rsidRPr="00321A4B">
        <w:rPr>
          <w:lang w:val="fr-CA"/>
        </w:rPr>
        <w:t xml:space="preserve"> (</w:t>
      </w:r>
      <w:r w:rsidR="00393DED">
        <w:rPr>
          <w:lang w:val="fr-CA"/>
        </w:rPr>
        <w:t>Conditions générales du contrat de sous-traitance et prix unitaire à prix fixe pour l'infrastructure</w:t>
      </w:r>
      <w:r w:rsidRPr="00321A4B">
        <w:rPr>
          <w:lang w:val="fr-CA"/>
        </w:rPr>
        <w:t>).</w:t>
      </w:r>
    </w:p>
    <w:p w14:paraId="126C91FA" w14:textId="25540629" w:rsidR="00504D62" w:rsidRPr="00321A4B" w:rsidRDefault="00504D62" w:rsidP="00504D62">
      <w:pPr>
        <w:keepNext/>
        <w:numPr>
          <w:ilvl w:val="0"/>
          <w:numId w:val="1"/>
        </w:numPr>
        <w:spacing w:before="240" w:after="0"/>
        <w:outlineLvl w:val="0"/>
        <w:rPr>
          <w:rFonts w:asciiTheme="majorHAnsi" w:eastAsiaTheme="majorEastAsia" w:hAnsiTheme="majorHAnsi" w:cstheme="majorBidi"/>
          <w:color w:val="000000" w:themeColor="text1"/>
          <w:sz w:val="24"/>
          <w:szCs w:val="24"/>
          <w:lang w:val="fr-CA"/>
        </w:rPr>
      </w:pPr>
      <w:bookmarkStart w:id="3" w:name="_Hlk548775"/>
      <w:bookmarkEnd w:id="2"/>
      <w:r w:rsidRPr="00321A4B">
        <w:rPr>
          <w:rFonts w:asciiTheme="majorHAnsi" w:eastAsiaTheme="majorEastAsia" w:hAnsiTheme="majorHAnsi" w:cstheme="majorBidi"/>
          <w:color w:val="000000" w:themeColor="text1"/>
          <w:sz w:val="24"/>
          <w:szCs w:val="24"/>
          <w:lang w:val="fr-CA"/>
        </w:rPr>
        <w:t>SOUMISSION</w:t>
      </w:r>
      <w:r w:rsidR="004331DE">
        <w:rPr>
          <w:rFonts w:asciiTheme="majorHAnsi" w:eastAsiaTheme="majorEastAsia" w:hAnsiTheme="majorHAnsi" w:cstheme="majorBidi"/>
          <w:color w:val="000000" w:themeColor="text1"/>
          <w:sz w:val="24"/>
          <w:szCs w:val="24"/>
          <w:lang w:val="fr-CA"/>
        </w:rPr>
        <w:t>S</w:t>
      </w:r>
      <w:r w:rsidRPr="00321A4B">
        <w:rPr>
          <w:rFonts w:asciiTheme="majorHAnsi" w:eastAsiaTheme="majorEastAsia" w:hAnsiTheme="majorHAnsi" w:cstheme="majorBidi"/>
          <w:color w:val="000000" w:themeColor="text1"/>
          <w:sz w:val="24"/>
          <w:szCs w:val="24"/>
          <w:lang w:val="fr-CA"/>
        </w:rPr>
        <w:t xml:space="preserve"> </w:t>
      </w:r>
      <w:r w:rsidR="004331DE">
        <w:rPr>
          <w:rFonts w:asciiTheme="majorHAnsi" w:eastAsiaTheme="majorEastAsia" w:hAnsiTheme="majorHAnsi" w:cstheme="majorBidi"/>
          <w:color w:val="000000" w:themeColor="text1"/>
          <w:sz w:val="24"/>
          <w:szCs w:val="24"/>
          <w:lang w:val="fr-CA"/>
        </w:rPr>
        <w:t xml:space="preserve">EN </w:t>
      </w:r>
      <w:r w:rsidRPr="00321A4B">
        <w:rPr>
          <w:rFonts w:asciiTheme="majorHAnsi" w:eastAsiaTheme="majorEastAsia" w:hAnsiTheme="majorHAnsi" w:cstheme="majorBidi"/>
          <w:color w:val="000000" w:themeColor="text1"/>
          <w:sz w:val="24"/>
          <w:szCs w:val="24"/>
          <w:lang w:val="fr-CA"/>
        </w:rPr>
        <w:t>PHASE DE CLÔTURE</w:t>
      </w:r>
    </w:p>
    <w:p w14:paraId="6A28EA1A" w14:textId="67CF1F05" w:rsidR="00504D62" w:rsidRPr="00321A4B" w:rsidRDefault="00504D62" w:rsidP="00504D62">
      <w:pPr>
        <w:keepNext/>
        <w:numPr>
          <w:ilvl w:val="0"/>
          <w:numId w:val="6"/>
        </w:numPr>
        <w:tabs>
          <w:tab w:val="left" w:pos="1080"/>
        </w:tabs>
        <w:spacing w:before="40" w:after="0"/>
        <w:ind w:left="1080"/>
        <w:outlineLvl w:val="1"/>
        <w:rPr>
          <w:rFonts w:asciiTheme="majorHAnsi" w:eastAsiaTheme="majorEastAsia" w:hAnsiTheme="majorHAnsi" w:cstheme="majorBidi"/>
          <w:color w:val="000000" w:themeColor="text1"/>
          <w:sz w:val="24"/>
          <w:szCs w:val="26"/>
          <w:lang w:val="fr-CA"/>
        </w:rPr>
      </w:pPr>
      <w:r w:rsidRPr="00321A4B">
        <w:rPr>
          <w:rFonts w:asciiTheme="majorHAnsi" w:eastAsiaTheme="majorEastAsia" w:hAnsiTheme="majorHAnsi" w:cstheme="majorBidi"/>
          <w:color w:val="000000" w:themeColor="text1"/>
          <w:sz w:val="24"/>
          <w:szCs w:val="26"/>
          <w:lang w:val="fr-CA"/>
        </w:rPr>
        <w:t>Dessins d</w:t>
      </w:r>
      <w:r w:rsidR="00321A4B">
        <w:rPr>
          <w:rFonts w:asciiTheme="majorHAnsi" w:eastAsiaTheme="majorEastAsia" w:hAnsiTheme="majorHAnsi" w:cstheme="majorBidi"/>
          <w:color w:val="000000" w:themeColor="text1"/>
          <w:sz w:val="24"/>
          <w:szCs w:val="26"/>
          <w:lang w:val="fr-CA"/>
        </w:rPr>
        <w:t>’</w:t>
      </w:r>
      <w:r w:rsidRPr="00321A4B">
        <w:rPr>
          <w:rFonts w:asciiTheme="majorHAnsi" w:eastAsiaTheme="majorEastAsia" w:hAnsiTheme="majorHAnsi" w:cstheme="majorBidi"/>
          <w:color w:val="000000" w:themeColor="text1"/>
          <w:sz w:val="24"/>
          <w:szCs w:val="26"/>
          <w:lang w:val="fr-CA"/>
        </w:rPr>
        <w:t>exécution et dessins d</w:t>
      </w:r>
      <w:r w:rsidR="00321A4B">
        <w:rPr>
          <w:rFonts w:asciiTheme="majorHAnsi" w:eastAsiaTheme="majorEastAsia" w:hAnsiTheme="majorHAnsi" w:cstheme="majorBidi"/>
          <w:color w:val="000000" w:themeColor="text1"/>
          <w:sz w:val="24"/>
          <w:szCs w:val="26"/>
          <w:lang w:val="fr-CA"/>
        </w:rPr>
        <w:t>’archive </w:t>
      </w:r>
      <w:r w:rsidRPr="00321A4B">
        <w:rPr>
          <w:rFonts w:asciiTheme="majorHAnsi" w:eastAsiaTheme="majorEastAsia" w:hAnsiTheme="majorHAnsi" w:cstheme="majorBidi"/>
          <w:color w:val="000000" w:themeColor="text1"/>
          <w:sz w:val="24"/>
          <w:szCs w:val="26"/>
          <w:lang w:val="fr-CA"/>
        </w:rPr>
        <w:t>: Sur demande dans les sections des spécifications individuelles, soumettre les dessins «</w:t>
      </w:r>
      <w:r w:rsidR="00321A4B">
        <w:rPr>
          <w:rFonts w:asciiTheme="majorHAnsi" w:eastAsiaTheme="majorEastAsia" w:hAnsiTheme="majorHAnsi" w:cstheme="majorBidi"/>
          <w:color w:val="000000" w:themeColor="text1"/>
          <w:sz w:val="24"/>
          <w:szCs w:val="26"/>
          <w:lang w:val="fr-CA"/>
        </w:rPr>
        <w:t> </w:t>
      </w:r>
      <w:r w:rsidRPr="00321A4B">
        <w:rPr>
          <w:rFonts w:asciiTheme="majorHAnsi" w:eastAsiaTheme="majorEastAsia" w:hAnsiTheme="majorHAnsi" w:cstheme="majorBidi"/>
          <w:color w:val="000000" w:themeColor="text1"/>
          <w:sz w:val="24"/>
          <w:szCs w:val="26"/>
          <w:lang w:val="fr-CA"/>
        </w:rPr>
        <w:t>tel que construit</w:t>
      </w:r>
      <w:r w:rsidR="00321A4B">
        <w:rPr>
          <w:rFonts w:asciiTheme="majorHAnsi" w:eastAsiaTheme="majorEastAsia" w:hAnsiTheme="majorHAnsi" w:cstheme="majorBidi"/>
          <w:color w:val="000000" w:themeColor="text1"/>
          <w:sz w:val="24"/>
          <w:szCs w:val="26"/>
          <w:lang w:val="fr-CA"/>
        </w:rPr>
        <w:t> »</w:t>
      </w:r>
      <w:r w:rsidRPr="00321A4B">
        <w:rPr>
          <w:rFonts w:asciiTheme="majorHAnsi" w:eastAsiaTheme="majorEastAsia" w:hAnsiTheme="majorHAnsi" w:cstheme="majorBidi"/>
          <w:color w:val="000000" w:themeColor="text1"/>
          <w:sz w:val="24"/>
          <w:szCs w:val="26"/>
          <w:lang w:val="fr-CA"/>
        </w:rPr>
        <w:t xml:space="preserve"> et «</w:t>
      </w:r>
      <w:r w:rsidR="00321A4B">
        <w:rPr>
          <w:rFonts w:asciiTheme="majorHAnsi" w:eastAsiaTheme="majorEastAsia" w:hAnsiTheme="majorHAnsi" w:cstheme="majorBidi"/>
          <w:color w:val="000000" w:themeColor="text1"/>
          <w:sz w:val="24"/>
          <w:szCs w:val="26"/>
          <w:lang w:val="fr-CA"/>
        </w:rPr>
        <w:t> </w:t>
      </w:r>
      <w:r w:rsidR="00B0092B" w:rsidRPr="00B0092B">
        <w:rPr>
          <w:rFonts w:asciiTheme="majorHAnsi" w:eastAsiaTheme="majorEastAsia" w:hAnsiTheme="majorHAnsi" w:cstheme="majorBidi"/>
          <w:color w:val="000000" w:themeColor="text1"/>
          <w:sz w:val="24"/>
          <w:szCs w:val="26"/>
          <w:lang w:val="fr-CA"/>
        </w:rPr>
        <w:t>Compte-</w:t>
      </w:r>
      <w:r w:rsidR="00E454F9" w:rsidRPr="00B0092B">
        <w:rPr>
          <w:rFonts w:asciiTheme="majorHAnsi" w:eastAsiaTheme="majorEastAsia" w:hAnsiTheme="majorHAnsi" w:cstheme="majorBidi"/>
          <w:color w:val="000000" w:themeColor="text1"/>
          <w:sz w:val="24"/>
          <w:szCs w:val="26"/>
          <w:lang w:val="fr-CA"/>
        </w:rPr>
        <w:t>rendu</w:t>
      </w:r>
      <w:r w:rsidR="00E454F9" w:rsidRPr="00321A4B">
        <w:rPr>
          <w:rFonts w:asciiTheme="majorHAnsi" w:eastAsiaTheme="majorEastAsia" w:hAnsiTheme="majorHAnsi" w:cstheme="majorBidi"/>
          <w:color w:val="000000" w:themeColor="text1"/>
          <w:sz w:val="24"/>
          <w:szCs w:val="26"/>
          <w:lang w:val="fr-CA"/>
        </w:rPr>
        <w:t xml:space="preserve"> »</w:t>
      </w:r>
      <w:r w:rsidRPr="00321A4B">
        <w:rPr>
          <w:rFonts w:asciiTheme="majorHAnsi" w:eastAsiaTheme="majorEastAsia" w:hAnsiTheme="majorHAnsi" w:cstheme="majorBidi"/>
          <w:color w:val="000000" w:themeColor="text1"/>
          <w:sz w:val="24"/>
          <w:szCs w:val="26"/>
          <w:lang w:val="fr-CA"/>
        </w:rPr>
        <w:t xml:space="preserve"> de l</w:t>
      </w:r>
      <w:r w:rsidR="00321A4B">
        <w:rPr>
          <w:rFonts w:asciiTheme="majorHAnsi" w:eastAsiaTheme="majorEastAsia" w:hAnsiTheme="majorHAnsi" w:cstheme="majorBidi"/>
          <w:color w:val="000000" w:themeColor="text1"/>
          <w:sz w:val="24"/>
          <w:szCs w:val="26"/>
          <w:lang w:val="fr-CA"/>
        </w:rPr>
        <w:t>’</w:t>
      </w:r>
      <w:r w:rsidRPr="00321A4B">
        <w:rPr>
          <w:rFonts w:asciiTheme="majorHAnsi" w:eastAsiaTheme="majorEastAsia" w:hAnsiTheme="majorHAnsi" w:cstheme="majorBidi"/>
          <w:color w:val="000000" w:themeColor="text1"/>
          <w:sz w:val="24"/>
          <w:szCs w:val="26"/>
          <w:lang w:val="fr-CA"/>
        </w:rPr>
        <w:t xml:space="preserve">installation, en se conformant au moins aux exigences minimales indiquées ci-dessous. Des exigences supplémentaires peuvent être indiquées dans chaque section. </w:t>
      </w:r>
    </w:p>
    <w:p w14:paraId="3EA9CFD2" w14:textId="384B3392" w:rsidR="00504D62" w:rsidRPr="00321A4B" w:rsidRDefault="00504D62" w:rsidP="00504D62">
      <w:pPr>
        <w:pStyle w:val="Heading3"/>
        <w:keepNext w:val="0"/>
        <w:keepLines w:val="0"/>
        <w:numPr>
          <w:ilvl w:val="2"/>
          <w:numId w:val="7"/>
        </w:numPr>
        <w:rPr>
          <w:lang w:val="fr-CA"/>
        </w:rPr>
      </w:pPr>
      <w:r w:rsidRPr="00321A4B">
        <w:rPr>
          <w:lang w:val="fr-CA"/>
        </w:rPr>
        <w:t>Une copie papier des copies balisées sur le terrain des plans et devis du contrat de sous-traitance montrant les révisions apportées aux documents de construction en fonction des changements qui surviennent sur le terrain. Les copies doivent être reliées dans un classeur à trois anneaux ou reliées d</w:t>
      </w:r>
      <w:r w:rsidR="00321A4B">
        <w:rPr>
          <w:lang w:val="fr-CA"/>
        </w:rPr>
        <w:t>’</w:t>
      </w:r>
      <w:r w:rsidRPr="00321A4B">
        <w:rPr>
          <w:lang w:val="fr-CA"/>
        </w:rPr>
        <w:t>une autre manière approuvée par l</w:t>
      </w:r>
      <w:r w:rsidR="00321A4B">
        <w:rPr>
          <w:lang w:val="fr-CA"/>
        </w:rPr>
        <w:t>’</w:t>
      </w:r>
      <w:r w:rsidR="004E7F8E">
        <w:rPr>
          <w:lang w:val="fr-CA"/>
        </w:rPr>
        <w:t>Ingénieur</w:t>
      </w:r>
      <w:r w:rsidRPr="00321A4B">
        <w:rPr>
          <w:lang w:val="fr-CA"/>
        </w:rPr>
        <w:t xml:space="preserve">. Le </w:t>
      </w:r>
      <w:r w:rsidR="004E7F8E">
        <w:rPr>
          <w:lang w:val="fr-CA"/>
        </w:rPr>
        <w:t>Sous-traitant</w:t>
      </w:r>
      <w:r w:rsidRPr="00321A4B">
        <w:rPr>
          <w:lang w:val="fr-CA"/>
        </w:rPr>
        <w:t xml:space="preserve"> marque les changements sur un jeu d</w:t>
      </w:r>
      <w:r w:rsidR="00321A4B">
        <w:rPr>
          <w:lang w:val="fr-CA"/>
        </w:rPr>
        <w:t>’</w:t>
      </w:r>
      <w:r w:rsidRPr="00321A4B">
        <w:rPr>
          <w:lang w:val="fr-CA"/>
        </w:rPr>
        <w:t>impressions des plans de construction (qui doivent être conservés sur le chantier), en indiquant les modifications apportées et l</w:t>
      </w:r>
      <w:r w:rsidR="00321A4B">
        <w:rPr>
          <w:lang w:val="fr-CA"/>
        </w:rPr>
        <w:t>’</w:t>
      </w:r>
      <w:r w:rsidRPr="00321A4B">
        <w:rPr>
          <w:lang w:val="fr-CA"/>
        </w:rPr>
        <w:t>endroit où elles ont été effectuées. Les ajouts sont marqués à l</w:t>
      </w:r>
      <w:r w:rsidR="00321A4B">
        <w:rPr>
          <w:lang w:val="fr-CA"/>
        </w:rPr>
        <w:t>’</w:t>
      </w:r>
      <w:r w:rsidRPr="00321A4B">
        <w:rPr>
          <w:lang w:val="fr-CA"/>
        </w:rPr>
        <w:t>encre rouge. Les suppressions sont marquées à l</w:t>
      </w:r>
      <w:r w:rsidR="00321A4B">
        <w:rPr>
          <w:lang w:val="fr-CA"/>
        </w:rPr>
        <w:t>’</w:t>
      </w:r>
      <w:r w:rsidRPr="00321A4B">
        <w:rPr>
          <w:lang w:val="fr-CA"/>
        </w:rPr>
        <w:t>encre verte. Les notes et annotations sont marquées à l</w:t>
      </w:r>
      <w:r w:rsidR="00321A4B">
        <w:rPr>
          <w:lang w:val="fr-CA"/>
        </w:rPr>
        <w:t>’</w:t>
      </w:r>
      <w:r w:rsidRPr="00321A4B">
        <w:rPr>
          <w:lang w:val="fr-CA"/>
        </w:rPr>
        <w:t>encre bleue. Les plans balisés doivent clairement montrer et différencier les éléments modifiés par rapport à ce qui était prévu à l</w:t>
      </w:r>
      <w:r w:rsidR="00321A4B">
        <w:rPr>
          <w:lang w:val="fr-CA"/>
        </w:rPr>
        <w:t>’</w:t>
      </w:r>
      <w:r w:rsidRPr="00321A4B">
        <w:rPr>
          <w:lang w:val="fr-CA"/>
        </w:rPr>
        <w:t>origine, y compris les dimensions, les matériaux et les autres descriptions.</w:t>
      </w:r>
    </w:p>
    <w:p w14:paraId="1396861B" w14:textId="175C47E3" w:rsidR="00504D62" w:rsidRPr="00321A4B" w:rsidRDefault="00504D62" w:rsidP="00504D62">
      <w:pPr>
        <w:pStyle w:val="Heading3"/>
        <w:keepNext w:val="0"/>
        <w:keepLines w:val="0"/>
        <w:numPr>
          <w:ilvl w:val="2"/>
          <w:numId w:val="7"/>
        </w:numPr>
        <w:rPr>
          <w:szCs w:val="26"/>
          <w:lang w:val="fr-CA"/>
        </w:rPr>
      </w:pPr>
      <w:r w:rsidRPr="00321A4B">
        <w:rPr>
          <w:szCs w:val="26"/>
          <w:lang w:val="fr-CA"/>
        </w:rPr>
        <w:t>Un PDF numérisé en couleur de l</w:t>
      </w:r>
      <w:r w:rsidR="00321A4B">
        <w:rPr>
          <w:szCs w:val="26"/>
          <w:lang w:val="fr-CA"/>
        </w:rPr>
        <w:t>’</w:t>
      </w:r>
      <w:r w:rsidRPr="00321A4B">
        <w:rPr>
          <w:szCs w:val="26"/>
          <w:lang w:val="fr-CA"/>
        </w:rPr>
        <w:t>ensemble des champs balisés des plans.</w:t>
      </w:r>
    </w:p>
    <w:p w14:paraId="10A372FB" w14:textId="592E1D14" w:rsidR="00504D62" w:rsidRPr="00321A4B" w:rsidRDefault="00504D62" w:rsidP="00504D62">
      <w:pPr>
        <w:pStyle w:val="Heading3"/>
        <w:keepNext w:val="0"/>
        <w:keepLines w:val="0"/>
        <w:numPr>
          <w:ilvl w:val="2"/>
          <w:numId w:val="7"/>
        </w:numPr>
        <w:rPr>
          <w:lang w:val="fr-CA"/>
        </w:rPr>
      </w:pPr>
      <w:r w:rsidRPr="00321A4B">
        <w:rPr>
          <w:lang w:val="fr-CA"/>
        </w:rPr>
        <w:lastRenderedPageBreak/>
        <w:t>Dessins de construction mis à jour (</w:t>
      </w:r>
      <w:r w:rsidR="00B0092B">
        <w:rPr>
          <w:lang w:val="fr-CA"/>
        </w:rPr>
        <w:t>Compte-rendu des D</w:t>
      </w:r>
      <w:r w:rsidR="00D277E8">
        <w:rPr>
          <w:lang w:val="fr-CA"/>
        </w:rPr>
        <w:t>essins</w:t>
      </w:r>
      <w:r w:rsidRPr="00321A4B">
        <w:rPr>
          <w:lang w:val="fr-CA"/>
        </w:rPr>
        <w:t>) montrant la configuration finale de l</w:t>
      </w:r>
      <w:r w:rsidR="00321A4B">
        <w:rPr>
          <w:lang w:val="fr-CA"/>
        </w:rPr>
        <w:t>’</w:t>
      </w:r>
      <w:r w:rsidRPr="00321A4B">
        <w:rPr>
          <w:lang w:val="fr-CA"/>
        </w:rPr>
        <w:t xml:space="preserve">œuvre au format AutoCAD, consistant en dessins de travail dans </w:t>
      </w:r>
      <w:r w:rsidR="00321A4B">
        <w:rPr>
          <w:lang w:val="fr-CA"/>
        </w:rPr>
        <w:t>« </w:t>
      </w:r>
      <w:r w:rsidRPr="00321A4B">
        <w:rPr>
          <w:lang w:val="fr-CA"/>
        </w:rPr>
        <w:t>l</w:t>
      </w:r>
      <w:r w:rsidR="00321A4B">
        <w:rPr>
          <w:lang w:val="fr-CA"/>
        </w:rPr>
        <w:t>’</w:t>
      </w:r>
      <w:r w:rsidRPr="00321A4B">
        <w:rPr>
          <w:lang w:val="fr-CA"/>
        </w:rPr>
        <w:t>espace modèle</w:t>
      </w:r>
      <w:r w:rsidR="00321A4B">
        <w:rPr>
          <w:lang w:val="fr-CA"/>
        </w:rPr>
        <w:t> »</w:t>
      </w:r>
      <w:r w:rsidRPr="00321A4B">
        <w:rPr>
          <w:lang w:val="fr-CA"/>
        </w:rPr>
        <w:t xml:space="preserve"> et le fichier de feuilles, et qui doit inclure tous les fichiers X</w:t>
      </w:r>
      <w:r w:rsidR="00B13419">
        <w:rPr>
          <w:lang w:val="fr-CA"/>
        </w:rPr>
        <w:t>REF</w:t>
      </w:r>
      <w:r w:rsidRPr="00321A4B">
        <w:rPr>
          <w:lang w:val="fr-CA"/>
        </w:rPr>
        <w:t xml:space="preserve">. </w:t>
      </w:r>
    </w:p>
    <w:p w14:paraId="697ED15C" w14:textId="05C8FBD1" w:rsidR="00504D62" w:rsidRPr="00321A4B" w:rsidRDefault="00504D62" w:rsidP="00504D62">
      <w:pPr>
        <w:pStyle w:val="Heading3"/>
        <w:keepNext w:val="0"/>
        <w:keepLines w:val="0"/>
        <w:numPr>
          <w:ilvl w:val="2"/>
          <w:numId w:val="7"/>
        </w:numPr>
        <w:rPr>
          <w:lang w:val="fr-CA"/>
        </w:rPr>
      </w:pPr>
      <w:r w:rsidRPr="00321A4B">
        <w:rPr>
          <w:lang w:val="fr-CA"/>
        </w:rPr>
        <w:t xml:space="preserve">Quatre copies papier des dessins sur papier de format 11 </w:t>
      </w:r>
      <w:r w:rsidR="009D5E09">
        <w:rPr>
          <w:lang w:val="fr-CA"/>
        </w:rPr>
        <w:t xml:space="preserve">po </w:t>
      </w:r>
      <w:r w:rsidRPr="00321A4B">
        <w:rPr>
          <w:lang w:val="fr-CA"/>
        </w:rPr>
        <w:t>x 17</w:t>
      </w:r>
      <w:r w:rsidR="009D5E09">
        <w:rPr>
          <w:lang w:val="fr-CA"/>
        </w:rPr>
        <w:t xml:space="preserve"> po</w:t>
      </w:r>
      <w:r w:rsidRPr="00321A4B">
        <w:rPr>
          <w:lang w:val="fr-CA"/>
        </w:rPr>
        <w:t>, reliés chacun dans un classeur à 3</w:t>
      </w:r>
      <w:r w:rsidR="00321A4B">
        <w:rPr>
          <w:lang w:val="fr-CA"/>
        </w:rPr>
        <w:t> </w:t>
      </w:r>
      <w:r w:rsidRPr="00321A4B">
        <w:rPr>
          <w:lang w:val="fr-CA"/>
        </w:rPr>
        <w:t>anneaux.</w:t>
      </w:r>
    </w:p>
    <w:p w14:paraId="4132AFE2" w14:textId="57728C26" w:rsidR="00504D62" w:rsidRPr="00321A4B" w:rsidRDefault="00504D62" w:rsidP="00504D62">
      <w:pPr>
        <w:pStyle w:val="Heading3"/>
        <w:keepNext w:val="0"/>
        <w:keepLines w:val="0"/>
        <w:numPr>
          <w:ilvl w:val="2"/>
          <w:numId w:val="7"/>
        </w:numPr>
        <w:rPr>
          <w:szCs w:val="26"/>
          <w:lang w:val="fr-CA"/>
        </w:rPr>
      </w:pPr>
      <w:r w:rsidRPr="00321A4B">
        <w:rPr>
          <w:szCs w:val="26"/>
          <w:lang w:val="fr-CA"/>
        </w:rPr>
        <w:t>Un fichier PDF pour chacun d</w:t>
      </w:r>
      <w:r w:rsidR="00321A4B">
        <w:rPr>
          <w:szCs w:val="26"/>
          <w:lang w:val="fr-CA"/>
        </w:rPr>
        <w:t>’</w:t>
      </w:r>
      <w:r w:rsidRPr="00321A4B">
        <w:rPr>
          <w:szCs w:val="26"/>
          <w:lang w:val="fr-CA"/>
        </w:rPr>
        <w:t xml:space="preserve">eux </w:t>
      </w:r>
      <w:r w:rsidR="00B24AB8">
        <w:rPr>
          <w:szCs w:val="26"/>
          <w:lang w:val="fr-CA"/>
        </w:rPr>
        <w:t xml:space="preserve">et </w:t>
      </w:r>
      <w:r w:rsidRPr="00321A4B">
        <w:rPr>
          <w:szCs w:val="26"/>
          <w:lang w:val="fr-CA"/>
        </w:rPr>
        <w:t xml:space="preserve">pour chaque </w:t>
      </w:r>
      <w:r w:rsidR="00B0092B">
        <w:rPr>
          <w:lang w:val="fr-CA"/>
        </w:rPr>
        <w:t>Compte-rendu de</w:t>
      </w:r>
      <w:r w:rsidR="00B0092B">
        <w:rPr>
          <w:szCs w:val="26"/>
          <w:lang w:val="fr-CA"/>
        </w:rPr>
        <w:t xml:space="preserve"> </w:t>
      </w:r>
      <w:r w:rsidRPr="00321A4B">
        <w:rPr>
          <w:szCs w:val="26"/>
          <w:lang w:val="fr-CA"/>
        </w:rPr>
        <w:t>dessin. Le</w:t>
      </w:r>
      <w:r w:rsidR="00A037C7">
        <w:rPr>
          <w:szCs w:val="26"/>
          <w:lang w:val="fr-CA"/>
        </w:rPr>
        <w:t xml:space="preserve">s </w:t>
      </w:r>
      <w:r w:rsidRPr="00321A4B">
        <w:rPr>
          <w:szCs w:val="26"/>
          <w:lang w:val="fr-CA"/>
        </w:rPr>
        <w:t>fichier</w:t>
      </w:r>
      <w:r w:rsidR="00A037C7">
        <w:rPr>
          <w:szCs w:val="26"/>
          <w:lang w:val="fr-CA"/>
        </w:rPr>
        <w:t>s</w:t>
      </w:r>
      <w:r w:rsidRPr="00321A4B">
        <w:rPr>
          <w:szCs w:val="26"/>
          <w:lang w:val="fr-CA"/>
        </w:rPr>
        <w:t xml:space="preserve"> PDF doivent être placés dans un dossier nommé </w:t>
      </w:r>
      <w:r w:rsidR="00321A4B">
        <w:rPr>
          <w:szCs w:val="26"/>
          <w:lang w:val="fr-CA"/>
        </w:rPr>
        <w:t>« </w:t>
      </w:r>
      <w:r w:rsidRPr="00321A4B">
        <w:rPr>
          <w:szCs w:val="26"/>
          <w:lang w:val="fr-CA"/>
        </w:rPr>
        <w:t>PDF</w:t>
      </w:r>
      <w:r w:rsidR="00321A4B">
        <w:rPr>
          <w:szCs w:val="26"/>
          <w:lang w:val="fr-CA"/>
        </w:rPr>
        <w:t> »</w:t>
      </w:r>
      <w:r w:rsidRPr="00321A4B">
        <w:rPr>
          <w:szCs w:val="26"/>
          <w:lang w:val="fr-CA"/>
        </w:rPr>
        <w:t xml:space="preserve"> sur le support soumis.</w:t>
      </w:r>
    </w:p>
    <w:p w14:paraId="5092356F" w14:textId="756291BE" w:rsidR="00504D62" w:rsidRPr="00321A4B" w:rsidRDefault="00504D62" w:rsidP="00504D62">
      <w:pPr>
        <w:pStyle w:val="Heading3"/>
        <w:keepNext w:val="0"/>
        <w:keepLines w:val="0"/>
        <w:numPr>
          <w:ilvl w:val="2"/>
          <w:numId w:val="7"/>
        </w:numPr>
        <w:rPr>
          <w:szCs w:val="26"/>
          <w:lang w:val="fr-CA"/>
        </w:rPr>
      </w:pPr>
      <w:r w:rsidRPr="00321A4B">
        <w:rPr>
          <w:szCs w:val="26"/>
          <w:lang w:val="fr-CA"/>
        </w:rPr>
        <w:t>Tous les supports électroniques concernant les dessins «</w:t>
      </w:r>
      <w:r w:rsidR="00321A4B">
        <w:rPr>
          <w:szCs w:val="26"/>
          <w:lang w:val="fr-CA"/>
        </w:rPr>
        <w:t> </w:t>
      </w:r>
      <w:r w:rsidRPr="00321A4B">
        <w:rPr>
          <w:szCs w:val="26"/>
          <w:lang w:val="fr-CA"/>
        </w:rPr>
        <w:t>conformes à l</w:t>
      </w:r>
      <w:r w:rsidR="00321A4B">
        <w:rPr>
          <w:szCs w:val="26"/>
          <w:lang w:val="fr-CA"/>
        </w:rPr>
        <w:t>’</w:t>
      </w:r>
      <w:r w:rsidRPr="00321A4B">
        <w:rPr>
          <w:szCs w:val="26"/>
          <w:lang w:val="fr-CA"/>
        </w:rPr>
        <w:t>exécution</w:t>
      </w:r>
      <w:r w:rsidR="00321A4B">
        <w:rPr>
          <w:szCs w:val="26"/>
          <w:lang w:val="fr-CA"/>
        </w:rPr>
        <w:t> </w:t>
      </w:r>
      <w:r w:rsidRPr="00321A4B">
        <w:rPr>
          <w:szCs w:val="26"/>
          <w:lang w:val="fr-CA"/>
        </w:rPr>
        <w:t>» et «</w:t>
      </w:r>
      <w:r w:rsidR="00321A4B">
        <w:rPr>
          <w:szCs w:val="26"/>
          <w:lang w:val="fr-CA"/>
        </w:rPr>
        <w:t> </w:t>
      </w:r>
      <w:r w:rsidR="00B0092B">
        <w:rPr>
          <w:szCs w:val="26"/>
          <w:lang w:val="fr-CA"/>
        </w:rPr>
        <w:t xml:space="preserve">le </w:t>
      </w:r>
      <w:r w:rsidR="00B0092B">
        <w:rPr>
          <w:lang w:val="fr-CA"/>
        </w:rPr>
        <w:t xml:space="preserve">Compte-rendu </w:t>
      </w:r>
      <w:r w:rsidRPr="00321A4B">
        <w:rPr>
          <w:szCs w:val="26"/>
          <w:lang w:val="fr-CA"/>
        </w:rPr>
        <w:t>» doivent être soumis sur clé USB, étiquetés</w:t>
      </w:r>
      <w:r w:rsidR="00321A4B">
        <w:rPr>
          <w:szCs w:val="26"/>
          <w:lang w:val="fr-CA"/>
        </w:rPr>
        <w:t xml:space="preserve"> </w:t>
      </w:r>
      <w:r w:rsidRPr="00321A4B">
        <w:rPr>
          <w:szCs w:val="26"/>
          <w:lang w:val="fr-CA"/>
        </w:rPr>
        <w:t>«</w:t>
      </w:r>
      <w:r w:rsidR="00321A4B">
        <w:rPr>
          <w:szCs w:val="26"/>
          <w:lang w:val="fr-CA"/>
        </w:rPr>
        <w:t> </w:t>
      </w:r>
      <w:r w:rsidRPr="00321A4B">
        <w:rPr>
          <w:szCs w:val="26"/>
          <w:lang w:val="fr-CA"/>
        </w:rPr>
        <w:t>Dessins conformes à l</w:t>
      </w:r>
      <w:r w:rsidR="00321A4B">
        <w:rPr>
          <w:szCs w:val="26"/>
          <w:lang w:val="fr-CA"/>
        </w:rPr>
        <w:t>’</w:t>
      </w:r>
      <w:r w:rsidRPr="00321A4B">
        <w:rPr>
          <w:szCs w:val="26"/>
          <w:lang w:val="fr-CA"/>
        </w:rPr>
        <w:t>exécution</w:t>
      </w:r>
      <w:r w:rsidR="00321A4B">
        <w:rPr>
          <w:szCs w:val="26"/>
          <w:lang w:val="fr-CA"/>
        </w:rPr>
        <w:t> </w:t>
      </w:r>
      <w:r w:rsidRPr="00321A4B">
        <w:rPr>
          <w:szCs w:val="26"/>
          <w:lang w:val="fr-CA"/>
        </w:rPr>
        <w:t>», avec sous-dossiers nommés «</w:t>
      </w:r>
      <w:r w:rsidR="00321A4B">
        <w:rPr>
          <w:szCs w:val="26"/>
          <w:lang w:val="fr-CA"/>
        </w:rPr>
        <w:t> </w:t>
      </w:r>
      <w:r w:rsidRPr="00321A4B">
        <w:rPr>
          <w:szCs w:val="26"/>
          <w:lang w:val="fr-CA"/>
        </w:rPr>
        <w:t>PDF</w:t>
      </w:r>
      <w:r w:rsidR="00321A4B">
        <w:rPr>
          <w:szCs w:val="26"/>
          <w:lang w:val="fr-CA"/>
        </w:rPr>
        <w:t> </w:t>
      </w:r>
      <w:r w:rsidRPr="00321A4B">
        <w:rPr>
          <w:szCs w:val="26"/>
          <w:lang w:val="fr-CA"/>
        </w:rPr>
        <w:t>» et «</w:t>
      </w:r>
      <w:r w:rsidR="00321A4B">
        <w:rPr>
          <w:szCs w:val="26"/>
          <w:lang w:val="fr-CA"/>
        </w:rPr>
        <w:t> </w:t>
      </w:r>
      <w:proofErr w:type="spellStart"/>
      <w:r w:rsidRPr="00321A4B">
        <w:rPr>
          <w:szCs w:val="26"/>
          <w:lang w:val="fr-CA"/>
        </w:rPr>
        <w:t>AutoCad</w:t>
      </w:r>
      <w:proofErr w:type="spellEnd"/>
      <w:r w:rsidR="00321A4B">
        <w:rPr>
          <w:szCs w:val="26"/>
          <w:lang w:val="fr-CA"/>
        </w:rPr>
        <w:t> </w:t>
      </w:r>
      <w:r w:rsidRPr="00321A4B">
        <w:rPr>
          <w:szCs w:val="26"/>
          <w:lang w:val="fr-CA"/>
        </w:rPr>
        <w:t>».</w:t>
      </w:r>
    </w:p>
    <w:p w14:paraId="1418D658" w14:textId="77150C74" w:rsidR="00504D62" w:rsidRPr="00321A4B" w:rsidRDefault="00504D62" w:rsidP="00504D62">
      <w:pPr>
        <w:keepNext/>
        <w:numPr>
          <w:ilvl w:val="0"/>
          <w:numId w:val="6"/>
        </w:numPr>
        <w:tabs>
          <w:tab w:val="left" w:pos="1080"/>
        </w:tabs>
        <w:spacing w:before="40" w:after="0"/>
        <w:ind w:left="1080"/>
        <w:outlineLvl w:val="1"/>
        <w:rPr>
          <w:rFonts w:asciiTheme="majorHAnsi" w:eastAsiaTheme="majorEastAsia" w:hAnsiTheme="majorHAnsi" w:cstheme="majorBidi"/>
          <w:color w:val="000000" w:themeColor="text1"/>
          <w:sz w:val="24"/>
          <w:szCs w:val="26"/>
          <w:lang w:val="fr-CA"/>
        </w:rPr>
      </w:pPr>
      <w:r w:rsidRPr="00321A4B">
        <w:rPr>
          <w:rFonts w:asciiTheme="majorHAnsi" w:eastAsiaTheme="majorEastAsia" w:hAnsiTheme="majorHAnsi" w:cstheme="majorBidi"/>
          <w:color w:val="000000" w:themeColor="text1"/>
          <w:sz w:val="24"/>
          <w:szCs w:val="26"/>
          <w:lang w:val="fr-CA"/>
        </w:rPr>
        <w:t>Garanties</w:t>
      </w:r>
      <w:r w:rsidR="00321A4B">
        <w:rPr>
          <w:rFonts w:asciiTheme="majorHAnsi" w:eastAsiaTheme="majorEastAsia" w:hAnsiTheme="majorHAnsi" w:cstheme="majorBidi"/>
          <w:color w:val="000000" w:themeColor="text1"/>
          <w:sz w:val="24"/>
          <w:szCs w:val="26"/>
          <w:lang w:val="fr-CA"/>
        </w:rPr>
        <w:t> </w:t>
      </w:r>
      <w:r w:rsidRPr="00321A4B">
        <w:rPr>
          <w:rFonts w:asciiTheme="majorHAnsi" w:eastAsiaTheme="majorEastAsia" w:hAnsiTheme="majorHAnsi" w:cstheme="majorBidi"/>
          <w:color w:val="000000" w:themeColor="text1"/>
          <w:sz w:val="24"/>
          <w:szCs w:val="26"/>
          <w:lang w:val="fr-CA"/>
        </w:rPr>
        <w:t>: Organiser les documents de garantie selon une séquence ordonnée basée sur l</w:t>
      </w:r>
      <w:r w:rsidR="00321A4B">
        <w:rPr>
          <w:rFonts w:asciiTheme="majorHAnsi" w:eastAsiaTheme="majorEastAsia" w:hAnsiTheme="majorHAnsi" w:cstheme="majorBidi"/>
          <w:color w:val="000000" w:themeColor="text1"/>
          <w:sz w:val="24"/>
          <w:szCs w:val="26"/>
          <w:lang w:val="fr-CA"/>
        </w:rPr>
        <w:t>’</w:t>
      </w:r>
      <w:r w:rsidRPr="00321A4B">
        <w:rPr>
          <w:rFonts w:asciiTheme="majorHAnsi" w:eastAsiaTheme="majorEastAsia" w:hAnsiTheme="majorHAnsi" w:cstheme="majorBidi"/>
          <w:color w:val="000000" w:themeColor="text1"/>
          <w:sz w:val="24"/>
          <w:szCs w:val="26"/>
          <w:lang w:val="fr-CA"/>
        </w:rPr>
        <w:t>ordre des sections des spécifications.</w:t>
      </w:r>
    </w:p>
    <w:p w14:paraId="17E39A7B" w14:textId="17586A77" w:rsidR="00504D62" w:rsidRPr="00321A4B" w:rsidRDefault="00504D62" w:rsidP="00504D62">
      <w:pPr>
        <w:pStyle w:val="Heading3"/>
        <w:keepNext w:val="0"/>
        <w:keepLines w:val="0"/>
        <w:numPr>
          <w:ilvl w:val="2"/>
          <w:numId w:val="8"/>
        </w:numPr>
        <w:rPr>
          <w:szCs w:val="26"/>
          <w:lang w:val="fr-CA"/>
        </w:rPr>
      </w:pPr>
      <w:r w:rsidRPr="00321A4B">
        <w:rPr>
          <w:szCs w:val="26"/>
          <w:lang w:val="fr-CA"/>
        </w:rPr>
        <w:t>Reliez les garanties et les cautionnements dans des reliures à trois anneaux, recouverts de vinyle et à feuilles mobiles, d</w:t>
      </w:r>
      <w:r w:rsidR="00321A4B">
        <w:rPr>
          <w:szCs w:val="26"/>
          <w:lang w:val="fr-CA"/>
        </w:rPr>
        <w:t>’</w:t>
      </w:r>
      <w:r w:rsidRPr="00321A4B">
        <w:rPr>
          <w:szCs w:val="26"/>
          <w:lang w:val="fr-CA"/>
        </w:rPr>
        <w:t>une épaisseur suffisante pour accommoder le contenu, et dimensionnée pour recevoir du papier de 8-1/2</w:t>
      </w:r>
      <w:r w:rsidR="00321A4B">
        <w:rPr>
          <w:szCs w:val="26"/>
          <w:lang w:val="fr-CA"/>
        </w:rPr>
        <w:t> </w:t>
      </w:r>
      <w:r w:rsidRPr="00321A4B">
        <w:rPr>
          <w:szCs w:val="26"/>
          <w:lang w:val="fr-CA"/>
        </w:rPr>
        <w:t>po</w:t>
      </w:r>
      <w:r w:rsidR="00B0092B">
        <w:rPr>
          <w:szCs w:val="26"/>
          <w:lang w:val="fr-CA"/>
        </w:rPr>
        <w:t>uces</w:t>
      </w:r>
      <w:r w:rsidRPr="00321A4B">
        <w:rPr>
          <w:szCs w:val="26"/>
          <w:lang w:val="fr-CA"/>
        </w:rPr>
        <w:t xml:space="preserve"> sur 11</w:t>
      </w:r>
      <w:r w:rsidR="00321A4B">
        <w:rPr>
          <w:szCs w:val="26"/>
          <w:lang w:val="fr-CA"/>
        </w:rPr>
        <w:t> </w:t>
      </w:r>
      <w:r w:rsidRPr="00321A4B">
        <w:rPr>
          <w:szCs w:val="26"/>
          <w:lang w:val="fr-CA"/>
        </w:rPr>
        <w:t>po</w:t>
      </w:r>
      <w:r w:rsidR="00B0092B">
        <w:rPr>
          <w:szCs w:val="26"/>
          <w:lang w:val="fr-CA"/>
        </w:rPr>
        <w:t>uces</w:t>
      </w:r>
      <w:r w:rsidRPr="00321A4B">
        <w:rPr>
          <w:szCs w:val="26"/>
          <w:lang w:val="fr-CA"/>
        </w:rPr>
        <w:t xml:space="preserve"> (215</w:t>
      </w:r>
      <w:r w:rsidR="00321A4B">
        <w:rPr>
          <w:szCs w:val="26"/>
          <w:lang w:val="fr-CA"/>
        </w:rPr>
        <w:t> </w:t>
      </w:r>
      <w:r w:rsidRPr="00321A4B">
        <w:rPr>
          <w:szCs w:val="26"/>
          <w:lang w:val="fr-CA"/>
        </w:rPr>
        <w:t>mm sur 280</w:t>
      </w:r>
      <w:r w:rsidR="00321A4B">
        <w:rPr>
          <w:szCs w:val="26"/>
          <w:lang w:val="fr-CA"/>
        </w:rPr>
        <w:t> </w:t>
      </w:r>
      <w:r w:rsidRPr="00321A4B">
        <w:rPr>
          <w:szCs w:val="26"/>
          <w:lang w:val="fr-CA"/>
        </w:rPr>
        <w:t>mm).</w:t>
      </w:r>
    </w:p>
    <w:p w14:paraId="11AA101E" w14:textId="6BBD8527" w:rsidR="00504D62" w:rsidRPr="00321A4B" w:rsidRDefault="00504D62" w:rsidP="00504D62">
      <w:pPr>
        <w:pStyle w:val="Heading3"/>
        <w:keepNext w:val="0"/>
        <w:keepLines w:val="0"/>
        <w:numPr>
          <w:ilvl w:val="2"/>
          <w:numId w:val="8"/>
        </w:numPr>
        <w:rPr>
          <w:szCs w:val="26"/>
          <w:lang w:val="fr-CA"/>
        </w:rPr>
      </w:pPr>
      <w:r w:rsidRPr="00321A4B">
        <w:rPr>
          <w:szCs w:val="26"/>
          <w:lang w:val="fr-CA"/>
        </w:rPr>
        <w:t>Prévoyez des intercalaires en papier épais avec des languettes recouvertes de plastique pour chaque garantie distincte. Marquez l</w:t>
      </w:r>
      <w:r w:rsidR="00321A4B">
        <w:rPr>
          <w:szCs w:val="26"/>
          <w:lang w:val="fr-CA"/>
        </w:rPr>
        <w:t>’</w:t>
      </w:r>
      <w:r w:rsidRPr="00321A4B">
        <w:rPr>
          <w:szCs w:val="26"/>
          <w:lang w:val="fr-CA"/>
        </w:rPr>
        <w:t>onglet pour identifier le produit ou l</w:t>
      </w:r>
      <w:r w:rsidR="00321A4B">
        <w:rPr>
          <w:szCs w:val="26"/>
          <w:lang w:val="fr-CA"/>
        </w:rPr>
        <w:t>’</w:t>
      </w:r>
      <w:r w:rsidRPr="00321A4B">
        <w:rPr>
          <w:szCs w:val="26"/>
          <w:lang w:val="fr-CA"/>
        </w:rPr>
        <w:t>installation. Fournir une description dactylographiée du produit ou de l</w:t>
      </w:r>
      <w:r w:rsidR="00321A4B">
        <w:rPr>
          <w:szCs w:val="26"/>
          <w:lang w:val="fr-CA"/>
        </w:rPr>
        <w:t>’</w:t>
      </w:r>
      <w:r w:rsidRPr="00321A4B">
        <w:rPr>
          <w:szCs w:val="26"/>
          <w:lang w:val="fr-CA"/>
        </w:rPr>
        <w:t>installation, y compris le nom du produit et le nom, l</w:t>
      </w:r>
      <w:r w:rsidR="00321A4B">
        <w:rPr>
          <w:szCs w:val="26"/>
          <w:lang w:val="fr-CA"/>
        </w:rPr>
        <w:t>’</w:t>
      </w:r>
      <w:r w:rsidRPr="00321A4B">
        <w:rPr>
          <w:szCs w:val="26"/>
          <w:lang w:val="fr-CA"/>
        </w:rPr>
        <w:t>adresse et le numéro de téléphone de l</w:t>
      </w:r>
      <w:r w:rsidR="00321A4B">
        <w:rPr>
          <w:szCs w:val="26"/>
          <w:lang w:val="fr-CA"/>
        </w:rPr>
        <w:t>’</w:t>
      </w:r>
      <w:r w:rsidRPr="00321A4B">
        <w:rPr>
          <w:szCs w:val="26"/>
          <w:lang w:val="fr-CA"/>
        </w:rPr>
        <w:t>installateur.</w:t>
      </w:r>
    </w:p>
    <w:p w14:paraId="4439018D" w14:textId="4CA42BA2" w:rsidR="00504D62" w:rsidRPr="00321A4B" w:rsidRDefault="00504D62" w:rsidP="00504D62">
      <w:pPr>
        <w:pStyle w:val="Heading3"/>
        <w:keepNext w:val="0"/>
        <w:keepLines w:val="0"/>
        <w:numPr>
          <w:ilvl w:val="2"/>
          <w:numId w:val="8"/>
        </w:numPr>
        <w:rPr>
          <w:szCs w:val="26"/>
          <w:lang w:val="fr-CA"/>
        </w:rPr>
      </w:pPr>
      <w:r w:rsidRPr="00321A4B">
        <w:rPr>
          <w:szCs w:val="26"/>
          <w:lang w:val="fr-CA"/>
        </w:rPr>
        <w:t xml:space="preserve">Identifiez chaque classeur sur le recto et le dos avec le titre dactylographié ou imprimé </w:t>
      </w:r>
      <w:r w:rsidR="00321A4B">
        <w:rPr>
          <w:szCs w:val="26"/>
          <w:lang w:val="fr-CA"/>
        </w:rPr>
        <w:t>« </w:t>
      </w:r>
      <w:r w:rsidRPr="00321A4B">
        <w:rPr>
          <w:szCs w:val="26"/>
          <w:lang w:val="fr-CA"/>
        </w:rPr>
        <w:t>GARANTIES</w:t>
      </w:r>
      <w:r w:rsidR="00321A4B">
        <w:rPr>
          <w:szCs w:val="26"/>
          <w:lang w:val="fr-CA"/>
        </w:rPr>
        <w:t> »</w:t>
      </w:r>
      <w:r w:rsidRPr="00321A4B">
        <w:rPr>
          <w:szCs w:val="26"/>
          <w:lang w:val="fr-CA"/>
        </w:rPr>
        <w:t xml:space="preserve">, le nom du projet et le nom du </w:t>
      </w:r>
      <w:r w:rsidR="004E7F8E">
        <w:rPr>
          <w:szCs w:val="26"/>
          <w:lang w:val="fr-CA"/>
        </w:rPr>
        <w:t>Sous-traitant</w:t>
      </w:r>
      <w:r w:rsidRPr="00321A4B">
        <w:rPr>
          <w:szCs w:val="26"/>
          <w:lang w:val="fr-CA"/>
        </w:rPr>
        <w:t>.</w:t>
      </w:r>
    </w:p>
    <w:p w14:paraId="59FD4FF8" w14:textId="441DB331" w:rsidR="00504D62" w:rsidRPr="00321A4B" w:rsidRDefault="00504D62" w:rsidP="00504D62">
      <w:pPr>
        <w:pStyle w:val="Heading3"/>
        <w:keepNext w:val="0"/>
        <w:keepLines w:val="0"/>
        <w:numPr>
          <w:ilvl w:val="2"/>
          <w:numId w:val="8"/>
        </w:numPr>
        <w:rPr>
          <w:szCs w:val="26"/>
          <w:lang w:val="fr-CA"/>
        </w:rPr>
      </w:pPr>
      <w:r w:rsidRPr="00321A4B">
        <w:rPr>
          <w:szCs w:val="26"/>
          <w:lang w:val="fr-CA"/>
        </w:rPr>
        <w:t>Numérisez les garanties et les cautionnements et assemblez l</w:t>
      </w:r>
      <w:r w:rsidR="00321A4B">
        <w:rPr>
          <w:szCs w:val="26"/>
          <w:lang w:val="fr-CA"/>
        </w:rPr>
        <w:t>’</w:t>
      </w:r>
      <w:r w:rsidRPr="00321A4B">
        <w:rPr>
          <w:szCs w:val="26"/>
          <w:lang w:val="fr-CA"/>
        </w:rPr>
        <w:t>ensemble des documents de garantie et de cautionnement en un seul fichier PDF électronique indexé. Fournir la table des matières au début du document. Fournir le fichier électronique sur une clé USB portant la mention «</w:t>
      </w:r>
      <w:r w:rsidR="00321A4B">
        <w:rPr>
          <w:szCs w:val="26"/>
          <w:lang w:val="fr-CA"/>
        </w:rPr>
        <w:t> </w:t>
      </w:r>
      <w:r w:rsidRPr="00321A4B">
        <w:rPr>
          <w:szCs w:val="26"/>
          <w:lang w:val="fr-CA"/>
        </w:rPr>
        <w:t>GARANTIES</w:t>
      </w:r>
      <w:r w:rsidR="00321A4B">
        <w:rPr>
          <w:szCs w:val="26"/>
          <w:lang w:val="fr-CA"/>
        </w:rPr>
        <w:t> </w:t>
      </w:r>
      <w:r w:rsidRPr="00321A4B">
        <w:rPr>
          <w:szCs w:val="26"/>
          <w:lang w:val="fr-CA"/>
        </w:rPr>
        <w:t>», Nom du projet</w:t>
      </w:r>
    </w:p>
    <w:p w14:paraId="65F1BD73" w14:textId="3C025C61" w:rsidR="00504D62" w:rsidRPr="00321A4B" w:rsidRDefault="00504D62" w:rsidP="00504D62">
      <w:pPr>
        <w:keepNext/>
        <w:numPr>
          <w:ilvl w:val="0"/>
          <w:numId w:val="6"/>
        </w:numPr>
        <w:tabs>
          <w:tab w:val="left" w:pos="1080"/>
        </w:tabs>
        <w:spacing w:before="40" w:after="0"/>
        <w:ind w:left="1080"/>
        <w:outlineLvl w:val="1"/>
        <w:rPr>
          <w:rFonts w:asciiTheme="majorHAnsi" w:eastAsiaTheme="majorEastAsia" w:hAnsiTheme="majorHAnsi" w:cstheme="majorBidi"/>
          <w:color w:val="000000" w:themeColor="text1"/>
          <w:sz w:val="24"/>
          <w:szCs w:val="26"/>
          <w:lang w:val="fr-CA"/>
        </w:rPr>
      </w:pPr>
      <w:bookmarkStart w:id="4" w:name="_Hlk5381130"/>
      <w:r w:rsidRPr="00321A4B">
        <w:rPr>
          <w:rFonts w:asciiTheme="majorHAnsi" w:eastAsiaTheme="majorEastAsia" w:hAnsiTheme="majorHAnsi" w:cstheme="majorBidi"/>
          <w:color w:val="000000" w:themeColor="text1"/>
          <w:sz w:val="24"/>
          <w:szCs w:val="26"/>
          <w:lang w:val="fr-CA"/>
        </w:rPr>
        <w:t>Manuel d</w:t>
      </w:r>
      <w:r w:rsidR="00321A4B">
        <w:rPr>
          <w:rFonts w:asciiTheme="majorHAnsi" w:eastAsiaTheme="majorEastAsia" w:hAnsiTheme="majorHAnsi" w:cstheme="majorBidi"/>
          <w:color w:val="000000" w:themeColor="text1"/>
          <w:sz w:val="24"/>
          <w:szCs w:val="26"/>
          <w:lang w:val="fr-CA"/>
        </w:rPr>
        <w:t>’</w:t>
      </w:r>
      <w:r w:rsidRPr="00321A4B">
        <w:rPr>
          <w:rFonts w:asciiTheme="majorHAnsi" w:eastAsiaTheme="majorEastAsia" w:hAnsiTheme="majorHAnsi" w:cstheme="majorBidi"/>
          <w:color w:val="000000" w:themeColor="text1"/>
          <w:sz w:val="24"/>
          <w:szCs w:val="26"/>
          <w:lang w:val="fr-CA"/>
        </w:rPr>
        <w:t>utilisation et d</w:t>
      </w:r>
      <w:r w:rsidR="00321A4B">
        <w:rPr>
          <w:rFonts w:asciiTheme="majorHAnsi" w:eastAsiaTheme="majorEastAsia" w:hAnsiTheme="majorHAnsi" w:cstheme="majorBidi"/>
          <w:color w:val="000000" w:themeColor="text1"/>
          <w:sz w:val="24"/>
          <w:szCs w:val="26"/>
          <w:lang w:val="fr-CA"/>
        </w:rPr>
        <w:t>’</w:t>
      </w:r>
      <w:r w:rsidRPr="00321A4B">
        <w:rPr>
          <w:rFonts w:asciiTheme="majorHAnsi" w:eastAsiaTheme="majorEastAsia" w:hAnsiTheme="majorHAnsi" w:cstheme="majorBidi"/>
          <w:color w:val="000000" w:themeColor="text1"/>
          <w:sz w:val="24"/>
          <w:szCs w:val="26"/>
          <w:lang w:val="fr-CA"/>
        </w:rPr>
        <w:t>entretien pour l</w:t>
      </w:r>
      <w:r w:rsidR="00321A4B">
        <w:rPr>
          <w:rFonts w:asciiTheme="majorHAnsi" w:eastAsiaTheme="majorEastAsia" w:hAnsiTheme="majorHAnsi" w:cstheme="majorBidi"/>
          <w:color w:val="000000" w:themeColor="text1"/>
          <w:sz w:val="24"/>
          <w:szCs w:val="26"/>
          <w:lang w:val="fr-CA"/>
        </w:rPr>
        <w:t>’</w:t>
      </w:r>
      <w:r w:rsidRPr="00321A4B">
        <w:rPr>
          <w:rFonts w:asciiTheme="majorHAnsi" w:eastAsiaTheme="majorEastAsia" w:hAnsiTheme="majorHAnsi" w:cstheme="majorBidi"/>
          <w:color w:val="000000" w:themeColor="text1"/>
          <w:sz w:val="24"/>
          <w:szCs w:val="26"/>
          <w:lang w:val="fr-CA"/>
        </w:rPr>
        <w:t>ensemble du système</w:t>
      </w:r>
      <w:r w:rsidR="00321A4B">
        <w:rPr>
          <w:rFonts w:asciiTheme="majorHAnsi" w:eastAsiaTheme="majorEastAsia" w:hAnsiTheme="majorHAnsi" w:cstheme="majorBidi"/>
          <w:color w:val="000000" w:themeColor="text1"/>
          <w:sz w:val="24"/>
          <w:szCs w:val="26"/>
          <w:lang w:val="fr-CA"/>
        </w:rPr>
        <w:t> </w:t>
      </w:r>
      <w:r w:rsidRPr="00321A4B">
        <w:rPr>
          <w:rFonts w:asciiTheme="majorHAnsi" w:eastAsiaTheme="majorEastAsia" w:hAnsiTheme="majorHAnsi" w:cstheme="majorBidi"/>
          <w:color w:val="000000" w:themeColor="text1"/>
          <w:sz w:val="24"/>
          <w:szCs w:val="26"/>
          <w:lang w:val="fr-CA"/>
        </w:rPr>
        <w:t>:</w:t>
      </w:r>
      <w:bookmarkEnd w:id="4"/>
      <w:r w:rsidRPr="00321A4B">
        <w:rPr>
          <w:rFonts w:asciiTheme="majorHAnsi" w:eastAsiaTheme="majorEastAsia" w:hAnsiTheme="majorHAnsi" w:cstheme="majorBidi"/>
          <w:color w:val="000000" w:themeColor="text1"/>
          <w:sz w:val="24"/>
          <w:szCs w:val="26"/>
          <w:lang w:val="fr-CA"/>
        </w:rPr>
        <w:t xml:space="preserve"> </w:t>
      </w:r>
      <w:r w:rsidR="00321A4B">
        <w:rPr>
          <w:rFonts w:asciiTheme="majorHAnsi" w:eastAsiaTheme="majorEastAsia" w:hAnsiTheme="majorHAnsi" w:cstheme="majorBidi"/>
          <w:color w:val="000000" w:themeColor="text1"/>
          <w:sz w:val="24"/>
          <w:szCs w:val="26"/>
          <w:lang w:val="fr-CA"/>
        </w:rPr>
        <w:t>s</w:t>
      </w:r>
      <w:r w:rsidRPr="00321A4B">
        <w:rPr>
          <w:rFonts w:asciiTheme="majorHAnsi" w:eastAsiaTheme="majorEastAsia" w:hAnsiTheme="majorHAnsi" w:cstheme="majorBidi"/>
          <w:color w:val="000000" w:themeColor="text1"/>
          <w:sz w:val="24"/>
          <w:szCs w:val="26"/>
          <w:lang w:val="fr-CA"/>
        </w:rPr>
        <w:t xml:space="preserve">ur demande dans la section des spécifications individuelles, fournir quatre </w:t>
      </w:r>
      <w:r w:rsidR="005B2CC0">
        <w:rPr>
          <w:rFonts w:asciiTheme="majorHAnsi" w:eastAsiaTheme="majorEastAsia" w:hAnsiTheme="majorHAnsi" w:cstheme="majorBidi"/>
          <w:color w:val="000000" w:themeColor="text1"/>
          <w:sz w:val="24"/>
          <w:szCs w:val="26"/>
          <w:lang w:val="fr-CA"/>
        </w:rPr>
        <w:t>copi</w:t>
      </w:r>
      <w:r w:rsidRPr="00321A4B">
        <w:rPr>
          <w:rFonts w:asciiTheme="majorHAnsi" w:eastAsiaTheme="majorEastAsia" w:hAnsiTheme="majorHAnsi" w:cstheme="majorBidi"/>
          <w:color w:val="000000" w:themeColor="text1"/>
          <w:sz w:val="24"/>
          <w:szCs w:val="26"/>
          <w:lang w:val="fr-CA"/>
        </w:rPr>
        <w:t>es de manuels d</w:t>
      </w:r>
      <w:r w:rsidR="00321A4B">
        <w:rPr>
          <w:rFonts w:asciiTheme="majorHAnsi" w:eastAsiaTheme="majorEastAsia" w:hAnsiTheme="majorHAnsi" w:cstheme="majorBidi"/>
          <w:color w:val="000000" w:themeColor="text1"/>
          <w:sz w:val="24"/>
          <w:szCs w:val="26"/>
          <w:lang w:val="fr-CA"/>
        </w:rPr>
        <w:t>’</w:t>
      </w:r>
      <w:r w:rsidRPr="00321A4B">
        <w:rPr>
          <w:rFonts w:asciiTheme="majorHAnsi" w:eastAsiaTheme="majorEastAsia" w:hAnsiTheme="majorHAnsi" w:cstheme="majorBidi"/>
          <w:color w:val="000000" w:themeColor="text1"/>
          <w:sz w:val="24"/>
          <w:szCs w:val="26"/>
          <w:lang w:val="fr-CA"/>
        </w:rPr>
        <w:t>utilisation et d</w:t>
      </w:r>
      <w:r w:rsidR="00321A4B">
        <w:rPr>
          <w:rFonts w:asciiTheme="majorHAnsi" w:eastAsiaTheme="majorEastAsia" w:hAnsiTheme="majorHAnsi" w:cstheme="majorBidi"/>
          <w:color w:val="000000" w:themeColor="text1"/>
          <w:sz w:val="24"/>
          <w:szCs w:val="26"/>
          <w:lang w:val="fr-CA"/>
        </w:rPr>
        <w:t>’</w:t>
      </w:r>
      <w:r w:rsidRPr="00321A4B">
        <w:rPr>
          <w:rFonts w:asciiTheme="majorHAnsi" w:eastAsiaTheme="majorEastAsia" w:hAnsiTheme="majorHAnsi" w:cstheme="majorBidi"/>
          <w:color w:val="000000" w:themeColor="text1"/>
          <w:sz w:val="24"/>
          <w:szCs w:val="26"/>
          <w:lang w:val="fr-CA"/>
        </w:rPr>
        <w:t>entretien au niveau du système dans un classeur en plastique transparent, couvrant l</w:t>
      </w:r>
      <w:r w:rsidR="00321A4B">
        <w:rPr>
          <w:rFonts w:asciiTheme="majorHAnsi" w:eastAsiaTheme="majorEastAsia" w:hAnsiTheme="majorHAnsi" w:cstheme="majorBidi"/>
          <w:color w:val="000000" w:themeColor="text1"/>
          <w:sz w:val="24"/>
          <w:szCs w:val="26"/>
          <w:lang w:val="fr-CA"/>
        </w:rPr>
        <w:t>’</w:t>
      </w:r>
      <w:r w:rsidRPr="00321A4B">
        <w:rPr>
          <w:rFonts w:asciiTheme="majorHAnsi" w:eastAsiaTheme="majorEastAsia" w:hAnsiTheme="majorHAnsi" w:cstheme="majorBidi"/>
          <w:color w:val="000000" w:themeColor="text1"/>
          <w:sz w:val="24"/>
          <w:szCs w:val="26"/>
          <w:lang w:val="fr-CA"/>
        </w:rPr>
        <w:t>utilisation et l</w:t>
      </w:r>
      <w:r w:rsidR="00321A4B">
        <w:rPr>
          <w:rFonts w:asciiTheme="majorHAnsi" w:eastAsiaTheme="majorEastAsia" w:hAnsiTheme="majorHAnsi" w:cstheme="majorBidi"/>
          <w:color w:val="000000" w:themeColor="text1"/>
          <w:sz w:val="24"/>
          <w:szCs w:val="26"/>
          <w:lang w:val="fr-CA"/>
        </w:rPr>
        <w:t>’</w:t>
      </w:r>
      <w:r w:rsidRPr="00321A4B">
        <w:rPr>
          <w:rFonts w:asciiTheme="majorHAnsi" w:eastAsiaTheme="majorEastAsia" w:hAnsiTheme="majorHAnsi" w:cstheme="majorBidi"/>
          <w:color w:val="000000" w:themeColor="text1"/>
          <w:sz w:val="24"/>
          <w:szCs w:val="26"/>
          <w:lang w:val="fr-CA"/>
        </w:rPr>
        <w:t>entretien de la somme des composants électromécaniques et autres qui constituent le système global. Ce manuel sera fourni en français en 4</w:t>
      </w:r>
      <w:r w:rsidR="00321A4B">
        <w:rPr>
          <w:rFonts w:asciiTheme="majorHAnsi" w:eastAsiaTheme="majorEastAsia" w:hAnsiTheme="majorHAnsi" w:cstheme="majorBidi"/>
          <w:color w:val="000000" w:themeColor="text1"/>
          <w:sz w:val="24"/>
          <w:szCs w:val="26"/>
          <w:lang w:val="fr-CA"/>
        </w:rPr>
        <w:t> </w:t>
      </w:r>
      <w:r w:rsidRPr="00321A4B">
        <w:rPr>
          <w:rFonts w:asciiTheme="majorHAnsi" w:eastAsiaTheme="majorEastAsia" w:hAnsiTheme="majorHAnsi" w:cstheme="majorBidi"/>
          <w:color w:val="000000" w:themeColor="text1"/>
          <w:sz w:val="24"/>
          <w:szCs w:val="26"/>
          <w:lang w:val="fr-CA"/>
        </w:rPr>
        <w:t xml:space="preserve">exemplaires dont reproductibles ainsi que sous forme de </w:t>
      </w:r>
      <w:r w:rsidRPr="00321A4B">
        <w:rPr>
          <w:rFonts w:asciiTheme="majorHAnsi" w:eastAsiaTheme="majorEastAsia" w:hAnsiTheme="majorHAnsi" w:cstheme="majorBidi"/>
          <w:color w:val="000000" w:themeColor="text1"/>
          <w:sz w:val="24"/>
          <w:szCs w:val="26"/>
          <w:lang w:val="fr-CA"/>
        </w:rPr>
        <w:lastRenderedPageBreak/>
        <w:t>fichiers informatiques (</w:t>
      </w:r>
      <w:r w:rsidR="00D21A40">
        <w:rPr>
          <w:rFonts w:asciiTheme="majorHAnsi" w:eastAsiaTheme="majorEastAsia" w:hAnsiTheme="majorHAnsi" w:cstheme="majorBidi"/>
          <w:color w:val="000000" w:themeColor="text1"/>
          <w:sz w:val="24"/>
          <w:szCs w:val="26"/>
          <w:lang w:val="fr-CA"/>
        </w:rPr>
        <w:t>W</w:t>
      </w:r>
      <w:r w:rsidRPr="00321A4B">
        <w:rPr>
          <w:rFonts w:asciiTheme="majorHAnsi" w:eastAsiaTheme="majorEastAsia" w:hAnsiTheme="majorHAnsi" w:cstheme="majorBidi"/>
          <w:color w:val="000000" w:themeColor="text1"/>
          <w:sz w:val="24"/>
          <w:szCs w:val="26"/>
          <w:lang w:val="fr-CA"/>
        </w:rPr>
        <w:t xml:space="preserve">ord, </w:t>
      </w:r>
      <w:r w:rsidR="000B2B8B">
        <w:rPr>
          <w:rFonts w:asciiTheme="majorHAnsi" w:eastAsiaTheme="majorEastAsia" w:hAnsiTheme="majorHAnsi" w:cstheme="majorBidi"/>
          <w:color w:val="000000" w:themeColor="text1"/>
          <w:sz w:val="24"/>
          <w:szCs w:val="26"/>
          <w:lang w:val="fr-CA"/>
        </w:rPr>
        <w:t>E</w:t>
      </w:r>
      <w:r w:rsidRPr="00321A4B">
        <w:rPr>
          <w:rFonts w:asciiTheme="majorHAnsi" w:eastAsiaTheme="majorEastAsia" w:hAnsiTheme="majorHAnsi" w:cstheme="majorBidi"/>
          <w:color w:val="000000" w:themeColor="text1"/>
          <w:sz w:val="24"/>
          <w:szCs w:val="26"/>
          <w:lang w:val="fr-CA"/>
        </w:rPr>
        <w:t>xcel, PDF) en format compatible Auto CAD pour les plans.</w:t>
      </w:r>
    </w:p>
    <w:p w14:paraId="05FDD540" w14:textId="065D085A" w:rsidR="00504D62" w:rsidRPr="00321A4B" w:rsidRDefault="00504D62" w:rsidP="00504D62">
      <w:pPr>
        <w:keepNext/>
        <w:numPr>
          <w:ilvl w:val="0"/>
          <w:numId w:val="6"/>
        </w:numPr>
        <w:tabs>
          <w:tab w:val="left" w:pos="1080"/>
        </w:tabs>
        <w:spacing w:before="40" w:after="0"/>
        <w:ind w:left="1080"/>
        <w:outlineLvl w:val="1"/>
        <w:rPr>
          <w:rFonts w:asciiTheme="majorHAnsi" w:eastAsiaTheme="majorEastAsia" w:hAnsiTheme="majorHAnsi" w:cstheme="majorBidi"/>
          <w:color w:val="000000" w:themeColor="text1"/>
          <w:sz w:val="24"/>
          <w:szCs w:val="26"/>
          <w:lang w:val="fr-CA"/>
        </w:rPr>
      </w:pPr>
      <w:r w:rsidRPr="00321A4B">
        <w:rPr>
          <w:rFonts w:asciiTheme="majorHAnsi" w:eastAsiaTheme="majorEastAsia" w:hAnsiTheme="majorHAnsi" w:cstheme="majorBidi"/>
          <w:color w:val="000000" w:themeColor="text1"/>
          <w:sz w:val="24"/>
          <w:szCs w:val="26"/>
          <w:lang w:val="fr-CA"/>
        </w:rPr>
        <w:t>Données d</w:t>
      </w:r>
      <w:r w:rsidR="00321A4B">
        <w:rPr>
          <w:rFonts w:asciiTheme="majorHAnsi" w:eastAsiaTheme="majorEastAsia" w:hAnsiTheme="majorHAnsi" w:cstheme="majorBidi"/>
          <w:color w:val="000000" w:themeColor="text1"/>
          <w:sz w:val="24"/>
          <w:szCs w:val="26"/>
          <w:lang w:val="fr-CA"/>
        </w:rPr>
        <w:t>’</w:t>
      </w:r>
      <w:r w:rsidRPr="00321A4B">
        <w:rPr>
          <w:rFonts w:asciiTheme="majorHAnsi" w:eastAsiaTheme="majorEastAsia" w:hAnsiTheme="majorHAnsi" w:cstheme="majorBidi"/>
          <w:color w:val="000000" w:themeColor="text1"/>
          <w:sz w:val="24"/>
          <w:szCs w:val="26"/>
          <w:lang w:val="fr-CA"/>
        </w:rPr>
        <w:t>exploitation et d</w:t>
      </w:r>
      <w:r w:rsidR="00321A4B">
        <w:rPr>
          <w:rFonts w:asciiTheme="majorHAnsi" w:eastAsiaTheme="majorEastAsia" w:hAnsiTheme="majorHAnsi" w:cstheme="majorBidi"/>
          <w:color w:val="000000" w:themeColor="text1"/>
          <w:sz w:val="24"/>
          <w:szCs w:val="26"/>
          <w:lang w:val="fr-CA"/>
        </w:rPr>
        <w:t>’</w:t>
      </w:r>
      <w:r w:rsidRPr="00321A4B">
        <w:rPr>
          <w:rFonts w:asciiTheme="majorHAnsi" w:eastAsiaTheme="majorEastAsia" w:hAnsiTheme="majorHAnsi" w:cstheme="majorBidi"/>
          <w:color w:val="000000" w:themeColor="text1"/>
          <w:sz w:val="24"/>
          <w:szCs w:val="26"/>
          <w:lang w:val="fr-CA"/>
        </w:rPr>
        <w:t>entretien</w:t>
      </w:r>
      <w:r w:rsidR="00321A4B">
        <w:rPr>
          <w:rFonts w:asciiTheme="majorHAnsi" w:eastAsiaTheme="majorEastAsia" w:hAnsiTheme="majorHAnsi" w:cstheme="majorBidi"/>
          <w:color w:val="000000" w:themeColor="text1"/>
          <w:sz w:val="24"/>
          <w:szCs w:val="26"/>
          <w:lang w:val="fr-CA"/>
        </w:rPr>
        <w:t> </w:t>
      </w:r>
      <w:r w:rsidRPr="00321A4B">
        <w:rPr>
          <w:rFonts w:asciiTheme="majorHAnsi" w:eastAsiaTheme="majorEastAsia" w:hAnsiTheme="majorHAnsi" w:cstheme="majorBidi"/>
          <w:color w:val="000000" w:themeColor="text1"/>
          <w:sz w:val="24"/>
          <w:szCs w:val="26"/>
          <w:lang w:val="fr-CA"/>
        </w:rPr>
        <w:t>: Fournir deux ensembles de manuels d</w:t>
      </w:r>
      <w:r w:rsidR="00321A4B">
        <w:rPr>
          <w:rFonts w:asciiTheme="majorHAnsi" w:eastAsiaTheme="majorEastAsia" w:hAnsiTheme="majorHAnsi" w:cstheme="majorBidi"/>
          <w:color w:val="000000" w:themeColor="text1"/>
          <w:sz w:val="24"/>
          <w:szCs w:val="26"/>
          <w:lang w:val="fr-CA"/>
        </w:rPr>
        <w:t>’</w:t>
      </w:r>
      <w:r w:rsidRPr="00321A4B">
        <w:rPr>
          <w:rFonts w:asciiTheme="majorHAnsi" w:eastAsiaTheme="majorEastAsia" w:hAnsiTheme="majorHAnsi" w:cstheme="majorBidi"/>
          <w:color w:val="000000" w:themeColor="text1"/>
          <w:sz w:val="24"/>
          <w:szCs w:val="26"/>
          <w:lang w:val="fr-CA"/>
        </w:rPr>
        <w:t>utilisation et d</w:t>
      </w:r>
      <w:r w:rsidR="00321A4B">
        <w:rPr>
          <w:rFonts w:asciiTheme="majorHAnsi" w:eastAsiaTheme="majorEastAsia" w:hAnsiTheme="majorHAnsi" w:cstheme="majorBidi"/>
          <w:color w:val="000000" w:themeColor="text1"/>
          <w:sz w:val="24"/>
          <w:szCs w:val="26"/>
          <w:lang w:val="fr-CA"/>
        </w:rPr>
        <w:t>’</w:t>
      </w:r>
      <w:r w:rsidRPr="00321A4B">
        <w:rPr>
          <w:rFonts w:asciiTheme="majorHAnsi" w:eastAsiaTheme="majorEastAsia" w:hAnsiTheme="majorHAnsi" w:cstheme="majorBidi"/>
          <w:color w:val="000000" w:themeColor="text1"/>
          <w:sz w:val="24"/>
          <w:szCs w:val="26"/>
          <w:lang w:val="fr-CA"/>
        </w:rPr>
        <w:t xml:space="preserve">entretien pour tous les équipements électromécaniques individuels </w:t>
      </w:r>
      <w:r w:rsidR="00B0092B">
        <w:rPr>
          <w:rFonts w:asciiTheme="majorHAnsi" w:eastAsiaTheme="majorEastAsia" w:hAnsiTheme="majorHAnsi" w:cstheme="majorBidi"/>
          <w:i/>
          <w:color w:val="000000" w:themeColor="text1"/>
          <w:sz w:val="24"/>
          <w:szCs w:val="26"/>
          <w:lang w:val="fr-CA"/>
        </w:rPr>
        <w:t>quelles que soient</w:t>
      </w:r>
      <w:r w:rsidRPr="00321A4B">
        <w:rPr>
          <w:rFonts w:asciiTheme="majorHAnsi" w:eastAsiaTheme="majorEastAsia" w:hAnsiTheme="majorHAnsi" w:cstheme="majorBidi"/>
          <w:i/>
          <w:color w:val="000000" w:themeColor="text1"/>
          <w:sz w:val="24"/>
          <w:szCs w:val="26"/>
          <w:lang w:val="fr-CA"/>
        </w:rPr>
        <w:t xml:space="preserve"> </w:t>
      </w:r>
      <w:r w:rsidR="00E454F9">
        <w:rPr>
          <w:rFonts w:asciiTheme="majorHAnsi" w:eastAsiaTheme="majorEastAsia" w:hAnsiTheme="majorHAnsi" w:cstheme="majorBidi"/>
          <w:color w:val="000000" w:themeColor="text1"/>
          <w:sz w:val="24"/>
          <w:szCs w:val="26"/>
          <w:lang w:val="fr-CA"/>
        </w:rPr>
        <w:t>les</w:t>
      </w:r>
      <w:r w:rsidRPr="00321A4B">
        <w:rPr>
          <w:rFonts w:asciiTheme="majorHAnsi" w:eastAsiaTheme="majorEastAsia" w:hAnsiTheme="majorHAnsi" w:cstheme="majorBidi"/>
          <w:color w:val="000000" w:themeColor="text1"/>
          <w:sz w:val="24"/>
          <w:szCs w:val="26"/>
          <w:lang w:val="fr-CA"/>
        </w:rPr>
        <w:t xml:space="preserve"> indications ou exigences des sections de</w:t>
      </w:r>
      <w:r w:rsidR="00E454F9">
        <w:rPr>
          <w:rFonts w:asciiTheme="majorHAnsi" w:eastAsiaTheme="majorEastAsia" w:hAnsiTheme="majorHAnsi" w:cstheme="majorBidi"/>
          <w:color w:val="000000" w:themeColor="text1"/>
          <w:sz w:val="24"/>
          <w:szCs w:val="26"/>
          <w:lang w:val="fr-CA"/>
        </w:rPr>
        <w:t xml:space="preserve"> </w:t>
      </w:r>
      <w:r w:rsidRPr="00321A4B">
        <w:rPr>
          <w:rFonts w:asciiTheme="majorHAnsi" w:eastAsiaTheme="majorEastAsia" w:hAnsiTheme="majorHAnsi" w:cstheme="majorBidi"/>
          <w:color w:val="000000" w:themeColor="text1"/>
          <w:sz w:val="24"/>
          <w:szCs w:val="26"/>
          <w:lang w:val="fr-CA"/>
        </w:rPr>
        <w:t>spécification individuelle</w:t>
      </w:r>
      <w:r w:rsidR="00E454F9">
        <w:rPr>
          <w:rFonts w:asciiTheme="majorHAnsi" w:eastAsiaTheme="majorEastAsia" w:hAnsiTheme="majorHAnsi" w:cstheme="majorBidi"/>
          <w:color w:val="000000" w:themeColor="text1"/>
          <w:sz w:val="24"/>
          <w:szCs w:val="26"/>
          <w:lang w:val="fr-CA"/>
        </w:rPr>
        <w:t>.</w:t>
      </w:r>
    </w:p>
    <w:p w14:paraId="75EA9E03" w14:textId="07678AFC" w:rsidR="00504D62" w:rsidRPr="00321A4B" w:rsidRDefault="00504D62" w:rsidP="00504D62">
      <w:pPr>
        <w:keepNext/>
        <w:numPr>
          <w:ilvl w:val="0"/>
          <w:numId w:val="6"/>
        </w:numPr>
        <w:tabs>
          <w:tab w:val="left" w:pos="1080"/>
        </w:tabs>
        <w:spacing w:before="40" w:after="0"/>
        <w:ind w:left="1080"/>
        <w:outlineLvl w:val="1"/>
        <w:rPr>
          <w:rFonts w:asciiTheme="majorHAnsi" w:eastAsiaTheme="majorEastAsia" w:hAnsiTheme="majorHAnsi" w:cstheme="majorBidi"/>
          <w:color w:val="000000" w:themeColor="text1"/>
          <w:sz w:val="24"/>
          <w:szCs w:val="26"/>
          <w:lang w:val="fr-CA"/>
        </w:rPr>
      </w:pPr>
      <w:r w:rsidRPr="00321A4B">
        <w:rPr>
          <w:rFonts w:asciiTheme="majorHAnsi" w:eastAsiaTheme="majorEastAsia" w:hAnsiTheme="majorHAnsi" w:cstheme="majorBidi"/>
          <w:color w:val="000000" w:themeColor="text1"/>
          <w:sz w:val="24"/>
          <w:szCs w:val="26"/>
          <w:lang w:val="fr-CA"/>
        </w:rPr>
        <w:t>D</w:t>
      </w:r>
      <w:r w:rsidR="00321A4B">
        <w:rPr>
          <w:rFonts w:asciiTheme="majorHAnsi" w:eastAsiaTheme="majorEastAsia" w:hAnsiTheme="majorHAnsi" w:cstheme="majorBidi"/>
          <w:color w:val="000000" w:themeColor="text1"/>
          <w:sz w:val="24"/>
          <w:szCs w:val="26"/>
          <w:lang w:val="fr-CA"/>
        </w:rPr>
        <w:t>’</w:t>
      </w:r>
      <w:r w:rsidRPr="00321A4B">
        <w:rPr>
          <w:rFonts w:asciiTheme="majorHAnsi" w:eastAsiaTheme="majorEastAsia" w:hAnsiTheme="majorHAnsi" w:cstheme="majorBidi"/>
          <w:color w:val="000000" w:themeColor="text1"/>
          <w:sz w:val="24"/>
          <w:szCs w:val="26"/>
          <w:lang w:val="fr-CA"/>
        </w:rPr>
        <w:t>autres données doivent être soumises en tant qu</w:t>
      </w:r>
      <w:r w:rsidR="00321A4B">
        <w:rPr>
          <w:rFonts w:asciiTheme="majorHAnsi" w:eastAsiaTheme="majorEastAsia" w:hAnsiTheme="majorHAnsi" w:cstheme="majorBidi"/>
          <w:color w:val="000000" w:themeColor="text1"/>
          <w:sz w:val="24"/>
          <w:szCs w:val="26"/>
          <w:lang w:val="fr-CA"/>
        </w:rPr>
        <w:t>’</w:t>
      </w:r>
      <w:r w:rsidRPr="00321A4B">
        <w:rPr>
          <w:rFonts w:asciiTheme="majorHAnsi" w:eastAsiaTheme="majorEastAsia" w:hAnsiTheme="majorHAnsi" w:cstheme="majorBidi"/>
          <w:color w:val="000000" w:themeColor="text1"/>
          <w:sz w:val="24"/>
          <w:szCs w:val="26"/>
          <w:lang w:val="fr-CA"/>
        </w:rPr>
        <w:t>annexe à la soumission de la garantie</w:t>
      </w:r>
      <w:r w:rsidR="00321A4B">
        <w:rPr>
          <w:rFonts w:asciiTheme="majorHAnsi" w:eastAsiaTheme="majorEastAsia" w:hAnsiTheme="majorHAnsi" w:cstheme="majorBidi"/>
          <w:color w:val="000000" w:themeColor="text1"/>
          <w:sz w:val="24"/>
          <w:szCs w:val="26"/>
          <w:lang w:val="fr-CA"/>
        </w:rPr>
        <w:t> </w:t>
      </w:r>
      <w:r w:rsidRPr="00321A4B">
        <w:rPr>
          <w:rFonts w:asciiTheme="majorHAnsi" w:eastAsiaTheme="majorEastAsia" w:hAnsiTheme="majorHAnsi" w:cstheme="majorBidi"/>
          <w:color w:val="000000" w:themeColor="text1"/>
          <w:sz w:val="24"/>
          <w:szCs w:val="26"/>
          <w:lang w:val="fr-CA"/>
        </w:rPr>
        <w:t>:</w:t>
      </w:r>
    </w:p>
    <w:p w14:paraId="44BCC7E9" w14:textId="0DB0E94C" w:rsidR="00504D62" w:rsidRPr="00321A4B" w:rsidRDefault="00504D62" w:rsidP="00504D62">
      <w:pPr>
        <w:keepNext/>
        <w:numPr>
          <w:ilvl w:val="1"/>
          <w:numId w:val="6"/>
        </w:numPr>
        <w:tabs>
          <w:tab w:val="left" w:pos="1080"/>
        </w:tabs>
        <w:spacing w:before="40" w:after="0"/>
        <w:ind w:left="1980"/>
        <w:outlineLvl w:val="1"/>
        <w:rPr>
          <w:rFonts w:asciiTheme="majorHAnsi" w:eastAsiaTheme="majorEastAsia" w:hAnsiTheme="majorHAnsi" w:cstheme="majorBidi"/>
          <w:color w:val="000000" w:themeColor="text1"/>
          <w:sz w:val="24"/>
          <w:szCs w:val="26"/>
          <w:lang w:val="fr-CA"/>
        </w:rPr>
      </w:pPr>
      <w:r w:rsidRPr="00321A4B">
        <w:rPr>
          <w:rFonts w:asciiTheme="majorHAnsi" w:eastAsiaTheme="majorEastAsia" w:hAnsiTheme="majorHAnsi" w:cstheme="majorBidi"/>
          <w:color w:val="000000" w:themeColor="text1"/>
          <w:sz w:val="24"/>
          <w:szCs w:val="26"/>
          <w:lang w:val="fr-CA"/>
        </w:rPr>
        <w:t>Deux séries de certificats de type et d</w:t>
      </w:r>
      <w:r w:rsidR="00321A4B">
        <w:rPr>
          <w:rFonts w:asciiTheme="majorHAnsi" w:eastAsiaTheme="majorEastAsia" w:hAnsiTheme="majorHAnsi" w:cstheme="majorBidi"/>
          <w:color w:val="000000" w:themeColor="text1"/>
          <w:sz w:val="24"/>
          <w:szCs w:val="26"/>
          <w:lang w:val="fr-CA"/>
        </w:rPr>
        <w:t>’</w:t>
      </w:r>
      <w:r w:rsidRPr="00321A4B">
        <w:rPr>
          <w:rFonts w:asciiTheme="majorHAnsi" w:eastAsiaTheme="majorEastAsia" w:hAnsiTheme="majorHAnsi" w:cstheme="majorBidi"/>
          <w:color w:val="000000" w:themeColor="text1"/>
          <w:sz w:val="24"/>
          <w:szCs w:val="26"/>
          <w:lang w:val="fr-CA"/>
        </w:rPr>
        <w:t>essai, s</w:t>
      </w:r>
      <w:r w:rsidR="00321A4B">
        <w:rPr>
          <w:rFonts w:asciiTheme="majorHAnsi" w:eastAsiaTheme="majorEastAsia" w:hAnsiTheme="majorHAnsi" w:cstheme="majorBidi"/>
          <w:color w:val="000000" w:themeColor="text1"/>
          <w:sz w:val="24"/>
          <w:szCs w:val="26"/>
          <w:lang w:val="fr-CA"/>
        </w:rPr>
        <w:t>’</w:t>
      </w:r>
      <w:r w:rsidRPr="00321A4B">
        <w:rPr>
          <w:rFonts w:asciiTheme="majorHAnsi" w:eastAsiaTheme="majorEastAsia" w:hAnsiTheme="majorHAnsi" w:cstheme="majorBidi"/>
          <w:color w:val="000000" w:themeColor="text1"/>
          <w:sz w:val="24"/>
          <w:szCs w:val="26"/>
          <w:lang w:val="fr-CA"/>
        </w:rPr>
        <w:t>ils sont fournis par le fabricant, de l</w:t>
      </w:r>
      <w:r w:rsidR="00321A4B">
        <w:rPr>
          <w:rFonts w:asciiTheme="majorHAnsi" w:eastAsiaTheme="majorEastAsia" w:hAnsiTheme="majorHAnsi" w:cstheme="majorBidi"/>
          <w:color w:val="000000" w:themeColor="text1"/>
          <w:sz w:val="24"/>
          <w:szCs w:val="26"/>
          <w:lang w:val="fr-CA"/>
        </w:rPr>
        <w:t>’</w:t>
      </w:r>
      <w:r w:rsidRPr="00321A4B">
        <w:rPr>
          <w:rFonts w:asciiTheme="majorHAnsi" w:eastAsiaTheme="majorEastAsia" w:hAnsiTheme="majorHAnsi" w:cstheme="majorBidi"/>
          <w:color w:val="000000" w:themeColor="text1"/>
          <w:sz w:val="24"/>
          <w:szCs w:val="26"/>
          <w:lang w:val="fr-CA"/>
        </w:rPr>
        <w:t>équipement opérationnel</w:t>
      </w:r>
      <w:r w:rsidR="00E24FA1">
        <w:rPr>
          <w:rFonts w:asciiTheme="majorHAnsi" w:eastAsiaTheme="majorEastAsia" w:hAnsiTheme="majorHAnsi" w:cstheme="majorBidi"/>
          <w:color w:val="000000" w:themeColor="text1"/>
          <w:sz w:val="24"/>
          <w:szCs w:val="26"/>
          <w:lang w:val="fr-CA"/>
        </w:rPr>
        <w:t>.</w:t>
      </w:r>
    </w:p>
    <w:p w14:paraId="194E0200" w14:textId="32D19631" w:rsidR="00504D62" w:rsidRPr="00321A4B" w:rsidRDefault="00504D62" w:rsidP="00504D62">
      <w:pPr>
        <w:keepNext/>
        <w:numPr>
          <w:ilvl w:val="1"/>
          <w:numId w:val="6"/>
        </w:numPr>
        <w:tabs>
          <w:tab w:val="left" w:pos="1080"/>
        </w:tabs>
        <w:spacing w:before="40" w:after="0"/>
        <w:ind w:left="1980"/>
        <w:outlineLvl w:val="1"/>
        <w:rPr>
          <w:rFonts w:asciiTheme="majorHAnsi" w:eastAsiaTheme="majorEastAsia" w:hAnsiTheme="majorHAnsi" w:cstheme="majorBidi"/>
          <w:color w:val="000000" w:themeColor="text1"/>
          <w:sz w:val="24"/>
          <w:szCs w:val="26"/>
          <w:lang w:val="fr-CA"/>
        </w:rPr>
      </w:pPr>
      <w:r w:rsidRPr="00321A4B">
        <w:rPr>
          <w:rFonts w:asciiTheme="majorHAnsi" w:eastAsiaTheme="majorEastAsia" w:hAnsiTheme="majorHAnsi" w:cstheme="majorBidi"/>
          <w:color w:val="000000" w:themeColor="text1"/>
          <w:sz w:val="24"/>
          <w:szCs w:val="26"/>
          <w:lang w:val="fr-CA"/>
        </w:rPr>
        <w:t>Numéros CUP découpés dans l</w:t>
      </w:r>
      <w:r w:rsidR="00321A4B">
        <w:rPr>
          <w:rFonts w:asciiTheme="majorHAnsi" w:eastAsiaTheme="majorEastAsia" w:hAnsiTheme="majorHAnsi" w:cstheme="majorBidi"/>
          <w:color w:val="000000" w:themeColor="text1"/>
          <w:sz w:val="24"/>
          <w:szCs w:val="26"/>
          <w:lang w:val="fr-CA"/>
        </w:rPr>
        <w:t>’</w:t>
      </w:r>
      <w:r w:rsidRPr="00321A4B">
        <w:rPr>
          <w:rFonts w:asciiTheme="majorHAnsi" w:eastAsiaTheme="majorEastAsia" w:hAnsiTheme="majorHAnsi" w:cstheme="majorBidi"/>
          <w:color w:val="000000" w:themeColor="text1"/>
          <w:sz w:val="24"/>
          <w:szCs w:val="26"/>
          <w:lang w:val="fr-CA"/>
        </w:rPr>
        <w:t>emballage de l</w:t>
      </w:r>
      <w:r w:rsidR="00321A4B">
        <w:rPr>
          <w:rFonts w:asciiTheme="majorHAnsi" w:eastAsiaTheme="majorEastAsia" w:hAnsiTheme="majorHAnsi" w:cstheme="majorBidi"/>
          <w:color w:val="000000" w:themeColor="text1"/>
          <w:sz w:val="24"/>
          <w:szCs w:val="26"/>
          <w:lang w:val="fr-CA"/>
        </w:rPr>
        <w:t>’</w:t>
      </w:r>
      <w:r w:rsidRPr="00321A4B">
        <w:rPr>
          <w:rFonts w:asciiTheme="majorHAnsi" w:eastAsiaTheme="majorEastAsia" w:hAnsiTheme="majorHAnsi" w:cstheme="majorBidi"/>
          <w:color w:val="000000" w:themeColor="text1"/>
          <w:sz w:val="24"/>
          <w:szCs w:val="26"/>
          <w:lang w:val="fr-CA"/>
        </w:rPr>
        <w:t>équipement.</w:t>
      </w:r>
    </w:p>
    <w:p w14:paraId="60AF70FF" w14:textId="77777777" w:rsidR="00504D62" w:rsidRPr="00321A4B" w:rsidRDefault="00504D62" w:rsidP="00504D62">
      <w:pPr>
        <w:keepNext/>
        <w:numPr>
          <w:ilvl w:val="1"/>
          <w:numId w:val="6"/>
        </w:numPr>
        <w:tabs>
          <w:tab w:val="left" w:pos="1080"/>
        </w:tabs>
        <w:spacing w:before="40" w:after="0"/>
        <w:ind w:left="1980"/>
        <w:outlineLvl w:val="1"/>
        <w:rPr>
          <w:rFonts w:asciiTheme="majorHAnsi" w:eastAsiaTheme="majorEastAsia" w:hAnsiTheme="majorHAnsi" w:cstheme="majorBidi"/>
          <w:color w:val="000000" w:themeColor="text1"/>
          <w:sz w:val="24"/>
          <w:szCs w:val="26"/>
          <w:lang w:val="fr-CA"/>
        </w:rPr>
      </w:pPr>
      <w:r w:rsidRPr="00321A4B">
        <w:rPr>
          <w:rFonts w:asciiTheme="majorHAnsi" w:eastAsiaTheme="majorEastAsia" w:hAnsiTheme="majorHAnsi" w:cstheme="majorBidi"/>
          <w:color w:val="000000" w:themeColor="text1"/>
          <w:sz w:val="24"/>
          <w:szCs w:val="26"/>
          <w:lang w:val="fr-CA"/>
        </w:rPr>
        <w:t>Copies de tous les certificats des matériaux du fabricant.</w:t>
      </w:r>
    </w:p>
    <w:bookmarkEnd w:id="3"/>
    <w:p w14:paraId="458ECCEA" w14:textId="77777777" w:rsidR="00504D62" w:rsidRPr="00321A4B" w:rsidRDefault="00504D62" w:rsidP="00504D62">
      <w:pPr>
        <w:rPr>
          <w:lang w:val="fr-CA"/>
        </w:rPr>
      </w:pPr>
    </w:p>
    <w:p w14:paraId="12580487" w14:textId="1B2D6FCC" w:rsidR="00504D62" w:rsidRPr="00321A4B" w:rsidRDefault="00504D62" w:rsidP="00504D62">
      <w:pPr>
        <w:rPr>
          <w:rFonts w:ascii="Times New Roman" w:hAnsi="Times New Roman" w:cs="Times New Roman"/>
          <w:b/>
          <w:lang w:val="fr-CA"/>
        </w:rPr>
      </w:pPr>
      <w:r w:rsidRPr="00321A4B">
        <w:rPr>
          <w:rFonts w:ascii="Times New Roman" w:hAnsi="Times New Roman" w:cs="Times New Roman"/>
          <w:b/>
          <w:lang w:val="fr-CA"/>
        </w:rPr>
        <w:t>PARTIE</w:t>
      </w:r>
      <w:r w:rsidR="00321A4B">
        <w:rPr>
          <w:rFonts w:ascii="Times New Roman" w:hAnsi="Times New Roman" w:cs="Times New Roman"/>
          <w:b/>
          <w:lang w:val="fr-CA"/>
        </w:rPr>
        <w:t> </w:t>
      </w:r>
      <w:r w:rsidRPr="00321A4B">
        <w:rPr>
          <w:rFonts w:ascii="Times New Roman" w:hAnsi="Times New Roman" w:cs="Times New Roman"/>
          <w:b/>
          <w:lang w:val="fr-CA"/>
        </w:rPr>
        <w:t xml:space="preserve">2 </w:t>
      </w:r>
      <w:r w:rsidR="00321A4B">
        <w:rPr>
          <w:rFonts w:ascii="Times New Roman" w:hAnsi="Times New Roman" w:cs="Times New Roman"/>
          <w:b/>
          <w:lang w:val="fr-CA"/>
        </w:rPr>
        <w:t>—</w:t>
      </w:r>
      <w:r w:rsidRPr="00321A4B">
        <w:rPr>
          <w:rFonts w:ascii="Times New Roman" w:hAnsi="Times New Roman" w:cs="Times New Roman"/>
          <w:b/>
          <w:lang w:val="fr-CA"/>
        </w:rPr>
        <w:t xml:space="preserve"> PRODUITS</w:t>
      </w:r>
    </w:p>
    <w:p w14:paraId="55B26883" w14:textId="50EFA4ED" w:rsidR="00504D62" w:rsidRPr="00321A4B" w:rsidRDefault="00504D62" w:rsidP="00504D62">
      <w:pPr>
        <w:rPr>
          <w:rFonts w:ascii="Times New Roman" w:hAnsi="Times New Roman" w:cs="Times New Roman"/>
          <w:b/>
          <w:lang w:val="fr-CA"/>
        </w:rPr>
      </w:pPr>
      <w:r w:rsidRPr="00321A4B">
        <w:rPr>
          <w:rFonts w:ascii="Times New Roman" w:hAnsi="Times New Roman" w:cs="Times New Roman"/>
          <w:b/>
          <w:lang w:val="fr-CA"/>
        </w:rPr>
        <w:t>PARTIE</w:t>
      </w:r>
      <w:r w:rsidR="00321A4B">
        <w:rPr>
          <w:rFonts w:ascii="Times New Roman" w:hAnsi="Times New Roman" w:cs="Times New Roman"/>
          <w:b/>
          <w:lang w:val="fr-CA"/>
        </w:rPr>
        <w:t> </w:t>
      </w:r>
      <w:r w:rsidRPr="00321A4B">
        <w:rPr>
          <w:rFonts w:ascii="Times New Roman" w:hAnsi="Times New Roman" w:cs="Times New Roman"/>
          <w:b/>
          <w:lang w:val="fr-CA"/>
        </w:rPr>
        <w:t xml:space="preserve">3 </w:t>
      </w:r>
      <w:r w:rsidR="00321A4B">
        <w:rPr>
          <w:rFonts w:ascii="Times New Roman" w:hAnsi="Times New Roman" w:cs="Times New Roman"/>
          <w:b/>
          <w:lang w:val="fr-CA"/>
        </w:rPr>
        <w:t>—</w:t>
      </w:r>
      <w:r w:rsidRPr="00321A4B">
        <w:rPr>
          <w:rFonts w:ascii="Times New Roman" w:hAnsi="Times New Roman" w:cs="Times New Roman"/>
          <w:b/>
          <w:lang w:val="fr-CA"/>
        </w:rPr>
        <w:t xml:space="preserve"> EXÉCUTION</w:t>
      </w:r>
    </w:p>
    <w:p w14:paraId="3693FABC" w14:textId="38604FA5" w:rsidR="007E5FDA" w:rsidRPr="00321A4B" w:rsidRDefault="00504D62" w:rsidP="00504D62">
      <w:pPr>
        <w:jc w:val="center"/>
        <w:rPr>
          <w:rFonts w:ascii="Times New Roman" w:hAnsi="Times New Roman" w:cs="Times New Roman"/>
          <w:lang w:val="fr-CA"/>
        </w:rPr>
      </w:pPr>
      <w:r w:rsidRPr="00321A4B">
        <w:rPr>
          <w:rFonts w:ascii="Times New Roman" w:hAnsi="Times New Roman" w:cs="Times New Roman"/>
          <w:lang w:val="fr-CA"/>
        </w:rPr>
        <w:t>FIN DE LA SECTION</w:t>
      </w:r>
    </w:p>
    <w:sectPr w:rsidR="007E5FDA" w:rsidRPr="00321A4B" w:rsidSect="007E5FDA">
      <w:headerReference w:type="even" r:id="rId7"/>
      <w:headerReference w:type="default" r:id="rId8"/>
      <w:footerReference w:type="even" r:id="rId9"/>
      <w:footerReference w:type="default" r:id="rId10"/>
      <w:headerReference w:type="first" r:id="rId11"/>
      <w:footerReference w:type="first" r:id="rId1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1E3ACD" w14:textId="77777777" w:rsidR="00153F01" w:rsidRDefault="00153F01" w:rsidP="00510AFF">
      <w:pPr>
        <w:spacing w:after="0" w:line="240" w:lineRule="auto"/>
      </w:pPr>
      <w:r>
        <w:separator/>
      </w:r>
    </w:p>
  </w:endnote>
  <w:endnote w:type="continuationSeparator" w:id="0">
    <w:p w14:paraId="4D1243A4" w14:textId="77777777" w:rsidR="00153F01" w:rsidRDefault="00153F01" w:rsidP="00510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78DDD" w14:textId="77777777" w:rsidR="00930CA3" w:rsidRDefault="00930C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FB9F9" w14:textId="1DB5584C" w:rsidR="00510AFF" w:rsidRPr="00504D62" w:rsidRDefault="00350B0F" w:rsidP="00504D62">
    <w:pPr>
      <w:pStyle w:val="Footer"/>
      <w:rPr>
        <w:rFonts w:ascii="Times New Roman" w:hAnsi="Times New Roman" w:cs="Times New Roman"/>
        <w:b/>
        <w:i/>
      </w:rPr>
    </w:pPr>
    <w:r w:rsidRPr="00504D62">
      <w:rPr>
        <w:rFonts w:ascii="Times New Roman" w:hAnsi="Times New Roman" w:cs="Times New Roman"/>
        <w:b/>
        <w:i/>
      </w:rPr>
      <w:t>USAID WATER/</w:t>
    </w:r>
    <w:r w:rsidR="00F066EB" w:rsidRPr="00504D62">
      <w:rPr>
        <w:rFonts w:ascii="Times New Roman" w:hAnsi="Times New Roman" w:cs="Times New Roman"/>
        <w:b/>
        <w:i/>
      </w:rPr>
      <w:t>SANITATION</w:t>
    </w:r>
    <w:r w:rsidR="008F062F" w:rsidRPr="00504D62">
      <w:rPr>
        <w:rFonts w:ascii="Times New Roman" w:hAnsi="Times New Roman" w:cs="Times New Roman"/>
        <w:b/>
        <w:i/>
      </w:rPr>
      <w:tab/>
    </w:r>
    <w:r w:rsidR="00B0092B">
      <w:rPr>
        <w:rFonts w:ascii="Times New Roman" w:hAnsi="Times New Roman" w:cs="Times New Roman"/>
        <w:b/>
        <w:i/>
      </w:rPr>
      <w:t xml:space="preserve">                </w:t>
    </w:r>
    <w:r w:rsidR="008F062F" w:rsidRPr="00504D62">
      <w:rPr>
        <w:rFonts w:ascii="Times New Roman" w:hAnsi="Times New Roman" w:cs="Times New Roman"/>
        <w:b/>
        <w:i/>
      </w:rPr>
      <w:t xml:space="preserve"> </w:t>
    </w:r>
    <w:r w:rsidR="00B0092B">
      <w:rPr>
        <w:rFonts w:ascii="Times New Roman" w:hAnsi="Times New Roman" w:cs="Times New Roman"/>
        <w:b/>
        <w:i/>
      </w:rPr>
      <w:t xml:space="preserve">             </w:t>
    </w:r>
    <w:r w:rsidR="000608CE" w:rsidRPr="00504D62">
      <w:rPr>
        <w:rFonts w:ascii="Times New Roman" w:hAnsi="Times New Roman" w:cs="Times New Roman"/>
        <w:b/>
        <w:i/>
      </w:rPr>
      <w:t>01 77</w:t>
    </w:r>
    <w:r w:rsidR="00321A4B">
      <w:rPr>
        <w:rFonts w:ascii="Times New Roman" w:hAnsi="Times New Roman" w:cs="Times New Roman"/>
        <w:b/>
        <w:i/>
      </w:rPr>
      <w:t xml:space="preserve"> 00 </w:t>
    </w:r>
    <w:r w:rsidR="00B0092B">
      <w:rPr>
        <w:rFonts w:ascii="Times New Roman" w:hAnsi="Times New Roman" w:cs="Times New Roman"/>
        <w:b/>
        <w:i/>
      </w:rPr>
      <w:t xml:space="preserve">       </w:t>
    </w:r>
    <w:r w:rsidR="00930CA3">
      <w:rPr>
        <w:rFonts w:ascii="Times New Roman" w:hAnsi="Times New Roman" w:cs="Times New Roman"/>
        <w:b/>
        <w:i/>
      </w:rPr>
      <w:t xml:space="preserve"> </w:t>
    </w:r>
    <w:r w:rsidR="00B0092B">
      <w:rPr>
        <w:rFonts w:ascii="Times New Roman" w:hAnsi="Times New Roman" w:cs="Times New Roman"/>
        <w:b/>
        <w:i/>
      </w:rPr>
      <w:t xml:space="preserve">                  </w:t>
    </w:r>
    <w:proofErr w:type="spellStart"/>
    <w:r w:rsidR="00EC1322" w:rsidRPr="00504D62">
      <w:rPr>
        <w:rFonts w:ascii="Times New Roman" w:hAnsi="Times New Roman" w:cs="Times New Roman"/>
        <w:b/>
        <w:i/>
      </w:rPr>
      <w:t>Spécifications</w:t>
    </w:r>
    <w:proofErr w:type="spellEnd"/>
    <w:r w:rsidR="00EC1322" w:rsidRPr="00504D62">
      <w:rPr>
        <w:rFonts w:ascii="Times New Roman" w:hAnsi="Times New Roman" w:cs="Times New Roman"/>
        <w:b/>
        <w:i/>
      </w:rPr>
      <w:t xml:space="preserve"> </w:t>
    </w:r>
    <w:r w:rsidR="00321A4B">
      <w:rPr>
        <w:rFonts w:ascii="Times New Roman" w:hAnsi="Times New Roman" w:cs="Times New Roman"/>
        <w:b/>
        <w:i/>
      </w:rPr>
      <w:t>t</w:t>
    </w:r>
    <w:r w:rsidR="00EC1322" w:rsidRPr="00504D62">
      <w:rPr>
        <w:rFonts w:ascii="Times New Roman" w:hAnsi="Times New Roman" w:cs="Times New Roman"/>
        <w:b/>
        <w:i/>
      </w:rPr>
      <w:t>echniques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1AD0A" w14:textId="77777777" w:rsidR="00930CA3" w:rsidRDefault="00930C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029234" w14:textId="77777777" w:rsidR="00153F01" w:rsidRDefault="00153F01" w:rsidP="00510AFF">
      <w:pPr>
        <w:spacing w:after="0" w:line="240" w:lineRule="auto"/>
      </w:pPr>
      <w:r>
        <w:separator/>
      </w:r>
    </w:p>
  </w:footnote>
  <w:footnote w:type="continuationSeparator" w:id="0">
    <w:p w14:paraId="04C97961" w14:textId="77777777" w:rsidR="00153F01" w:rsidRDefault="00153F01" w:rsidP="00510A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0ACF3" w14:textId="77777777" w:rsidR="00930CA3" w:rsidRDefault="00930C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9B886" w14:textId="77777777" w:rsidR="00930CA3" w:rsidRDefault="00930C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C5467" w14:textId="77777777" w:rsidR="00930CA3" w:rsidRDefault="00930C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0331C"/>
    <w:multiLevelType w:val="multilevel"/>
    <w:tmpl w:val="DB0C1B56"/>
    <w:lvl w:ilvl="0">
      <w:start w:val="1"/>
      <w:numFmt w:val="decimal"/>
      <w:lvlText w:val="3.%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 w15:restartNumberingAfterBreak="0">
    <w:nsid w:val="08234F42"/>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2" w15:restartNumberingAfterBreak="0">
    <w:nsid w:val="0D8B4AE5"/>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3" w15:restartNumberingAfterBreak="0">
    <w:nsid w:val="26745D83"/>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4" w15:restartNumberingAfterBreak="0">
    <w:nsid w:val="468F14F8"/>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5" w15:restartNumberingAfterBreak="0">
    <w:nsid w:val="4CEA778F"/>
    <w:multiLevelType w:val="hybridMultilevel"/>
    <w:tmpl w:val="DD220832"/>
    <w:lvl w:ilvl="0" w:tplc="040C0015">
      <w:start w:val="1"/>
      <w:numFmt w:val="upperLetter"/>
      <w:lvlText w:val="%1."/>
      <w:lvlJc w:val="left"/>
      <w:pPr>
        <w:ind w:left="1801" w:hanging="360"/>
      </w:pPr>
    </w:lvl>
    <w:lvl w:ilvl="1" w:tplc="040C0019">
      <w:start w:val="1"/>
      <w:numFmt w:val="lowerLetter"/>
      <w:lvlText w:val="%2."/>
      <w:lvlJc w:val="left"/>
      <w:pPr>
        <w:ind w:left="2521" w:hanging="360"/>
      </w:pPr>
    </w:lvl>
    <w:lvl w:ilvl="2" w:tplc="040C001B" w:tentative="1">
      <w:start w:val="1"/>
      <w:numFmt w:val="lowerRoman"/>
      <w:lvlText w:val="%3."/>
      <w:lvlJc w:val="right"/>
      <w:pPr>
        <w:ind w:left="3241" w:hanging="180"/>
      </w:pPr>
    </w:lvl>
    <w:lvl w:ilvl="3" w:tplc="040C000F" w:tentative="1">
      <w:start w:val="1"/>
      <w:numFmt w:val="decimal"/>
      <w:lvlText w:val="%4."/>
      <w:lvlJc w:val="left"/>
      <w:pPr>
        <w:ind w:left="3961" w:hanging="360"/>
      </w:pPr>
    </w:lvl>
    <w:lvl w:ilvl="4" w:tplc="040C0019" w:tentative="1">
      <w:start w:val="1"/>
      <w:numFmt w:val="lowerLetter"/>
      <w:lvlText w:val="%5."/>
      <w:lvlJc w:val="left"/>
      <w:pPr>
        <w:ind w:left="4681" w:hanging="360"/>
      </w:pPr>
    </w:lvl>
    <w:lvl w:ilvl="5" w:tplc="040C001B" w:tentative="1">
      <w:start w:val="1"/>
      <w:numFmt w:val="lowerRoman"/>
      <w:lvlText w:val="%6."/>
      <w:lvlJc w:val="right"/>
      <w:pPr>
        <w:ind w:left="5401" w:hanging="180"/>
      </w:pPr>
    </w:lvl>
    <w:lvl w:ilvl="6" w:tplc="040C000F" w:tentative="1">
      <w:start w:val="1"/>
      <w:numFmt w:val="decimal"/>
      <w:lvlText w:val="%7."/>
      <w:lvlJc w:val="left"/>
      <w:pPr>
        <w:ind w:left="6121" w:hanging="360"/>
      </w:pPr>
    </w:lvl>
    <w:lvl w:ilvl="7" w:tplc="040C0019" w:tentative="1">
      <w:start w:val="1"/>
      <w:numFmt w:val="lowerLetter"/>
      <w:lvlText w:val="%8."/>
      <w:lvlJc w:val="left"/>
      <w:pPr>
        <w:ind w:left="6841" w:hanging="360"/>
      </w:pPr>
    </w:lvl>
    <w:lvl w:ilvl="8" w:tplc="040C001B" w:tentative="1">
      <w:start w:val="1"/>
      <w:numFmt w:val="lowerRoman"/>
      <w:lvlText w:val="%9."/>
      <w:lvlJc w:val="right"/>
      <w:pPr>
        <w:ind w:left="7561" w:hanging="180"/>
      </w:pPr>
    </w:lvl>
  </w:abstractNum>
  <w:abstractNum w:abstractNumId="6" w15:restartNumberingAfterBreak="0">
    <w:nsid w:val="71790FB4"/>
    <w:multiLevelType w:val="multilevel"/>
    <w:tmpl w:val="AE928B4E"/>
    <w:lvl w:ilvl="0">
      <w:start w:val="1"/>
      <w:numFmt w:val="decimal"/>
      <w:lvlText w:val="2.%1"/>
      <w:lvlJc w:val="left"/>
      <w:pPr>
        <w:ind w:left="360" w:hanging="360"/>
      </w:pPr>
      <w:rPr>
        <w:rFonts w:hint="default"/>
      </w:rPr>
    </w:lvl>
    <w:lvl w:ilvl="1">
      <w:start w:val="1"/>
      <w:numFmt w:val="upperLetter"/>
      <w:pStyle w:val="Heading2"/>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
  </w:num>
  <w:num w:numId="2">
    <w:abstractNumId w:val="0"/>
  </w:num>
  <w:num w:numId="3">
    <w:abstractNumId w:val="6"/>
  </w:num>
  <w:num w:numId="4">
    <w:abstractNumId w:val="3"/>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2"/>
  </w:num>
  <w:num w:numId="8">
    <w:abstractNumId w:val="4"/>
  </w:num>
  <w:num w:numId="9">
    <w:abstractNumId w:val="0"/>
  </w:num>
  <w:num w:numId="10">
    <w:abstractNumId w:val="0"/>
  </w:num>
  <w:num w:numId="11">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5FB"/>
    <w:rsid w:val="000031BF"/>
    <w:rsid w:val="000051E2"/>
    <w:rsid w:val="00005DB4"/>
    <w:rsid w:val="00013E07"/>
    <w:rsid w:val="00055500"/>
    <w:rsid w:val="000608CE"/>
    <w:rsid w:val="000A3F31"/>
    <w:rsid w:val="000B2137"/>
    <w:rsid w:val="000B2B8B"/>
    <w:rsid w:val="000D1548"/>
    <w:rsid w:val="000D6810"/>
    <w:rsid w:val="000F18DC"/>
    <w:rsid w:val="000F5475"/>
    <w:rsid w:val="0011793F"/>
    <w:rsid w:val="00125369"/>
    <w:rsid w:val="00131365"/>
    <w:rsid w:val="00153F01"/>
    <w:rsid w:val="001544B0"/>
    <w:rsid w:val="00156B24"/>
    <w:rsid w:val="00162D14"/>
    <w:rsid w:val="001758B4"/>
    <w:rsid w:val="0018332A"/>
    <w:rsid w:val="00197D81"/>
    <w:rsid w:val="001B7151"/>
    <w:rsid w:val="001E65FB"/>
    <w:rsid w:val="00213150"/>
    <w:rsid w:val="002665EB"/>
    <w:rsid w:val="002805CC"/>
    <w:rsid w:val="002A5F98"/>
    <w:rsid w:val="002A71D7"/>
    <w:rsid w:val="002C1597"/>
    <w:rsid w:val="002F0472"/>
    <w:rsid w:val="002F266B"/>
    <w:rsid w:val="00307D7D"/>
    <w:rsid w:val="00321A4B"/>
    <w:rsid w:val="0032517A"/>
    <w:rsid w:val="003358FC"/>
    <w:rsid w:val="00337444"/>
    <w:rsid w:val="003402CC"/>
    <w:rsid w:val="0034424E"/>
    <w:rsid w:val="00350B0F"/>
    <w:rsid w:val="0035131F"/>
    <w:rsid w:val="00382000"/>
    <w:rsid w:val="00393DED"/>
    <w:rsid w:val="00396859"/>
    <w:rsid w:val="003B3776"/>
    <w:rsid w:val="003B5A4C"/>
    <w:rsid w:val="003D0891"/>
    <w:rsid w:val="003E6A32"/>
    <w:rsid w:val="003F1994"/>
    <w:rsid w:val="003F20B8"/>
    <w:rsid w:val="003F34BA"/>
    <w:rsid w:val="003F772C"/>
    <w:rsid w:val="00413923"/>
    <w:rsid w:val="00424F12"/>
    <w:rsid w:val="004331DE"/>
    <w:rsid w:val="00440F7F"/>
    <w:rsid w:val="00441E5D"/>
    <w:rsid w:val="00452152"/>
    <w:rsid w:val="00467421"/>
    <w:rsid w:val="0049318B"/>
    <w:rsid w:val="004B2C00"/>
    <w:rsid w:val="004C3B3F"/>
    <w:rsid w:val="004C65DC"/>
    <w:rsid w:val="004D0F1D"/>
    <w:rsid w:val="004D51C5"/>
    <w:rsid w:val="004E39E2"/>
    <w:rsid w:val="004E7F8E"/>
    <w:rsid w:val="0050121C"/>
    <w:rsid w:val="005016B0"/>
    <w:rsid w:val="00504D62"/>
    <w:rsid w:val="00510AFF"/>
    <w:rsid w:val="005114F0"/>
    <w:rsid w:val="00543381"/>
    <w:rsid w:val="00581C25"/>
    <w:rsid w:val="00584A3A"/>
    <w:rsid w:val="005921DD"/>
    <w:rsid w:val="0059260F"/>
    <w:rsid w:val="005A6452"/>
    <w:rsid w:val="005A650A"/>
    <w:rsid w:val="005B2CC0"/>
    <w:rsid w:val="005B4D0E"/>
    <w:rsid w:val="005D29E4"/>
    <w:rsid w:val="005F4283"/>
    <w:rsid w:val="00604255"/>
    <w:rsid w:val="00607ED8"/>
    <w:rsid w:val="00636BC9"/>
    <w:rsid w:val="006415BF"/>
    <w:rsid w:val="00642B2C"/>
    <w:rsid w:val="00646140"/>
    <w:rsid w:val="00660FFF"/>
    <w:rsid w:val="006710FB"/>
    <w:rsid w:val="00683F71"/>
    <w:rsid w:val="006A29B7"/>
    <w:rsid w:val="006A5CB1"/>
    <w:rsid w:val="006B5645"/>
    <w:rsid w:val="006B69BF"/>
    <w:rsid w:val="006C24D3"/>
    <w:rsid w:val="006E2E46"/>
    <w:rsid w:val="006F01E5"/>
    <w:rsid w:val="007003D1"/>
    <w:rsid w:val="007231D2"/>
    <w:rsid w:val="0073100A"/>
    <w:rsid w:val="00751552"/>
    <w:rsid w:val="00751E4F"/>
    <w:rsid w:val="00766833"/>
    <w:rsid w:val="007668A3"/>
    <w:rsid w:val="00776F7C"/>
    <w:rsid w:val="00785015"/>
    <w:rsid w:val="00792605"/>
    <w:rsid w:val="00795737"/>
    <w:rsid w:val="007A50BC"/>
    <w:rsid w:val="007E39C2"/>
    <w:rsid w:val="007E5FDA"/>
    <w:rsid w:val="007F7271"/>
    <w:rsid w:val="00835C17"/>
    <w:rsid w:val="00842883"/>
    <w:rsid w:val="008577B9"/>
    <w:rsid w:val="00864D4A"/>
    <w:rsid w:val="00871046"/>
    <w:rsid w:val="00876EC9"/>
    <w:rsid w:val="00883B91"/>
    <w:rsid w:val="008943F6"/>
    <w:rsid w:val="008B4657"/>
    <w:rsid w:val="008C02F0"/>
    <w:rsid w:val="008D22C1"/>
    <w:rsid w:val="008D54A4"/>
    <w:rsid w:val="008F062F"/>
    <w:rsid w:val="00907D76"/>
    <w:rsid w:val="00921846"/>
    <w:rsid w:val="00930CA3"/>
    <w:rsid w:val="00931052"/>
    <w:rsid w:val="00937033"/>
    <w:rsid w:val="00937B6D"/>
    <w:rsid w:val="00941067"/>
    <w:rsid w:val="00944837"/>
    <w:rsid w:val="0095578C"/>
    <w:rsid w:val="009817E3"/>
    <w:rsid w:val="0099180A"/>
    <w:rsid w:val="0099271D"/>
    <w:rsid w:val="00992934"/>
    <w:rsid w:val="009C224E"/>
    <w:rsid w:val="009D0731"/>
    <w:rsid w:val="009D463D"/>
    <w:rsid w:val="009D5E09"/>
    <w:rsid w:val="009E0611"/>
    <w:rsid w:val="009E526E"/>
    <w:rsid w:val="009E557C"/>
    <w:rsid w:val="009F6210"/>
    <w:rsid w:val="00A037C7"/>
    <w:rsid w:val="00A4453B"/>
    <w:rsid w:val="00A6427D"/>
    <w:rsid w:val="00A67D22"/>
    <w:rsid w:val="00A93852"/>
    <w:rsid w:val="00AB19B3"/>
    <w:rsid w:val="00AB2FC3"/>
    <w:rsid w:val="00B0092B"/>
    <w:rsid w:val="00B076C7"/>
    <w:rsid w:val="00B13419"/>
    <w:rsid w:val="00B2261E"/>
    <w:rsid w:val="00B24AB8"/>
    <w:rsid w:val="00B621BE"/>
    <w:rsid w:val="00B7628F"/>
    <w:rsid w:val="00B94504"/>
    <w:rsid w:val="00C1375F"/>
    <w:rsid w:val="00C226E0"/>
    <w:rsid w:val="00C24D22"/>
    <w:rsid w:val="00C60807"/>
    <w:rsid w:val="00C818DF"/>
    <w:rsid w:val="00C8799F"/>
    <w:rsid w:val="00CB2901"/>
    <w:rsid w:val="00D02A47"/>
    <w:rsid w:val="00D0471B"/>
    <w:rsid w:val="00D048C8"/>
    <w:rsid w:val="00D05C79"/>
    <w:rsid w:val="00D205B7"/>
    <w:rsid w:val="00D20DFC"/>
    <w:rsid w:val="00D21A40"/>
    <w:rsid w:val="00D277E8"/>
    <w:rsid w:val="00D67047"/>
    <w:rsid w:val="00D80930"/>
    <w:rsid w:val="00D80D6C"/>
    <w:rsid w:val="00DA55CA"/>
    <w:rsid w:val="00DD2F36"/>
    <w:rsid w:val="00DE5141"/>
    <w:rsid w:val="00E210A2"/>
    <w:rsid w:val="00E2388A"/>
    <w:rsid w:val="00E24FA1"/>
    <w:rsid w:val="00E35425"/>
    <w:rsid w:val="00E40727"/>
    <w:rsid w:val="00E40B70"/>
    <w:rsid w:val="00E44968"/>
    <w:rsid w:val="00E454F9"/>
    <w:rsid w:val="00E541F8"/>
    <w:rsid w:val="00E57C3A"/>
    <w:rsid w:val="00E60B6E"/>
    <w:rsid w:val="00E61512"/>
    <w:rsid w:val="00E66FBC"/>
    <w:rsid w:val="00EA36A3"/>
    <w:rsid w:val="00EB7EAF"/>
    <w:rsid w:val="00EC1322"/>
    <w:rsid w:val="00EC3014"/>
    <w:rsid w:val="00ED2C00"/>
    <w:rsid w:val="00EE6D52"/>
    <w:rsid w:val="00EF5069"/>
    <w:rsid w:val="00F066EB"/>
    <w:rsid w:val="00F208A9"/>
    <w:rsid w:val="00F41053"/>
    <w:rsid w:val="00F602DB"/>
    <w:rsid w:val="00F7797D"/>
    <w:rsid w:val="00FA23B0"/>
    <w:rsid w:val="00FB4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6594D"/>
  <w15:docId w15:val="{75FA2563-69EB-481D-B8C3-B736D0C3B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3F71"/>
    <w:pPr>
      <w:keepNext/>
      <w:keepLines/>
      <w:spacing w:before="240" w:after="0"/>
      <w:outlineLvl w:val="0"/>
    </w:pPr>
    <w:rPr>
      <w:rFonts w:asciiTheme="majorHAnsi" w:eastAsiaTheme="majorEastAsia" w:hAnsiTheme="majorHAnsi" w:cstheme="majorBidi"/>
      <w:color w:val="000000" w:themeColor="text1"/>
      <w:sz w:val="24"/>
      <w:szCs w:val="24"/>
    </w:rPr>
  </w:style>
  <w:style w:type="paragraph" w:styleId="Heading2">
    <w:name w:val="heading 2"/>
    <w:basedOn w:val="Normal"/>
    <w:next w:val="Normal"/>
    <w:link w:val="Heading2Char"/>
    <w:uiPriority w:val="9"/>
    <w:unhideWhenUsed/>
    <w:qFormat/>
    <w:rsid w:val="00B7628F"/>
    <w:pPr>
      <w:keepNext/>
      <w:keepLines/>
      <w:numPr>
        <w:ilvl w:val="1"/>
        <w:numId w:val="3"/>
      </w:numPr>
      <w:tabs>
        <w:tab w:val="left" w:pos="1080"/>
      </w:tabs>
      <w:spacing w:before="40" w:after="0"/>
      <w:outlineLvl w:val="1"/>
    </w:pPr>
    <w:rPr>
      <w:rFonts w:asciiTheme="majorHAnsi" w:eastAsiaTheme="majorEastAsia" w:hAnsiTheme="majorHAnsi" w:cstheme="majorBidi"/>
      <w:color w:val="000000" w:themeColor="text1"/>
      <w:sz w:val="24"/>
      <w:szCs w:val="26"/>
    </w:rPr>
  </w:style>
  <w:style w:type="paragraph" w:styleId="Heading3">
    <w:name w:val="heading 3"/>
    <w:basedOn w:val="Normal"/>
    <w:next w:val="Normal"/>
    <w:link w:val="Heading3Char"/>
    <w:uiPriority w:val="9"/>
    <w:unhideWhenUsed/>
    <w:qFormat/>
    <w:rsid w:val="00C818DF"/>
    <w:pPr>
      <w:keepNext/>
      <w:keepLines/>
      <w:numPr>
        <w:ilvl w:val="2"/>
        <w:numId w:val="2"/>
      </w:numPr>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semiHidden/>
    <w:unhideWhenUsed/>
    <w:qFormat/>
    <w:rsid w:val="000F18DC"/>
    <w:pPr>
      <w:keepNext/>
      <w:keepLines/>
      <w:numPr>
        <w:ilvl w:val="3"/>
        <w:numId w:val="2"/>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F18DC"/>
    <w:pPr>
      <w:keepNext/>
      <w:keepLines/>
      <w:numPr>
        <w:ilvl w:val="4"/>
        <w:numId w:val="2"/>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F18DC"/>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0F18DC"/>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0F18DC"/>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F18DC"/>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381"/>
    <w:pPr>
      <w:ind w:left="720"/>
      <w:contextualSpacing/>
    </w:pPr>
  </w:style>
  <w:style w:type="paragraph" w:styleId="Header">
    <w:name w:val="header"/>
    <w:basedOn w:val="Normal"/>
    <w:link w:val="HeaderChar"/>
    <w:uiPriority w:val="99"/>
    <w:unhideWhenUsed/>
    <w:rsid w:val="00510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AFF"/>
  </w:style>
  <w:style w:type="paragraph" w:styleId="Footer">
    <w:name w:val="footer"/>
    <w:basedOn w:val="Normal"/>
    <w:link w:val="FooterChar"/>
    <w:uiPriority w:val="99"/>
    <w:unhideWhenUsed/>
    <w:rsid w:val="00510A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AFF"/>
  </w:style>
  <w:style w:type="paragraph" w:styleId="BalloonText">
    <w:name w:val="Balloon Text"/>
    <w:basedOn w:val="Normal"/>
    <w:link w:val="BalloonTextChar"/>
    <w:uiPriority w:val="99"/>
    <w:semiHidden/>
    <w:unhideWhenUsed/>
    <w:rsid w:val="00510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0AFF"/>
    <w:rPr>
      <w:rFonts w:ascii="Tahoma" w:hAnsi="Tahoma" w:cs="Tahoma"/>
      <w:sz w:val="16"/>
      <w:szCs w:val="16"/>
    </w:rPr>
  </w:style>
  <w:style w:type="character" w:customStyle="1" w:styleId="Heading1Char">
    <w:name w:val="Heading 1 Char"/>
    <w:basedOn w:val="DefaultParagraphFont"/>
    <w:link w:val="Heading1"/>
    <w:uiPriority w:val="9"/>
    <w:rsid w:val="00683F71"/>
    <w:rPr>
      <w:rFonts w:asciiTheme="majorHAnsi" w:eastAsiaTheme="majorEastAsia" w:hAnsiTheme="majorHAnsi" w:cstheme="majorBidi"/>
      <w:color w:val="000000" w:themeColor="text1"/>
      <w:sz w:val="24"/>
      <w:szCs w:val="24"/>
    </w:rPr>
  </w:style>
  <w:style w:type="character" w:customStyle="1" w:styleId="Heading2Char">
    <w:name w:val="Heading 2 Char"/>
    <w:basedOn w:val="DefaultParagraphFont"/>
    <w:link w:val="Heading2"/>
    <w:uiPriority w:val="9"/>
    <w:rsid w:val="00B7628F"/>
    <w:rPr>
      <w:rFonts w:asciiTheme="majorHAnsi" w:eastAsiaTheme="majorEastAsia" w:hAnsiTheme="majorHAnsi" w:cstheme="majorBidi"/>
      <w:color w:val="000000" w:themeColor="text1"/>
      <w:sz w:val="24"/>
      <w:szCs w:val="26"/>
    </w:rPr>
  </w:style>
  <w:style w:type="character" w:customStyle="1" w:styleId="Heading3Char">
    <w:name w:val="Heading 3 Char"/>
    <w:basedOn w:val="DefaultParagraphFont"/>
    <w:link w:val="Heading3"/>
    <w:uiPriority w:val="9"/>
    <w:rsid w:val="00C818DF"/>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semiHidden/>
    <w:rsid w:val="000F18DC"/>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F18D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0F18D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0F18D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0F18D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F18DC"/>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C1375F"/>
    <w:rPr>
      <w:sz w:val="16"/>
      <w:szCs w:val="16"/>
    </w:rPr>
  </w:style>
  <w:style w:type="paragraph" w:styleId="CommentText">
    <w:name w:val="annotation text"/>
    <w:basedOn w:val="Normal"/>
    <w:link w:val="CommentTextChar"/>
    <w:uiPriority w:val="99"/>
    <w:semiHidden/>
    <w:unhideWhenUsed/>
    <w:rsid w:val="00C1375F"/>
    <w:pPr>
      <w:spacing w:line="240" w:lineRule="auto"/>
    </w:pPr>
    <w:rPr>
      <w:sz w:val="20"/>
      <w:szCs w:val="20"/>
    </w:rPr>
  </w:style>
  <w:style w:type="character" w:customStyle="1" w:styleId="CommentTextChar">
    <w:name w:val="Comment Text Char"/>
    <w:basedOn w:val="DefaultParagraphFont"/>
    <w:link w:val="CommentText"/>
    <w:uiPriority w:val="99"/>
    <w:semiHidden/>
    <w:rsid w:val="00C1375F"/>
    <w:rPr>
      <w:sz w:val="20"/>
      <w:szCs w:val="20"/>
    </w:rPr>
  </w:style>
  <w:style w:type="paragraph" w:styleId="CommentSubject">
    <w:name w:val="annotation subject"/>
    <w:basedOn w:val="CommentText"/>
    <w:next w:val="CommentText"/>
    <w:link w:val="CommentSubjectChar"/>
    <w:uiPriority w:val="99"/>
    <w:semiHidden/>
    <w:unhideWhenUsed/>
    <w:rsid w:val="00C1375F"/>
    <w:rPr>
      <w:b/>
      <w:bCs/>
    </w:rPr>
  </w:style>
  <w:style w:type="character" w:customStyle="1" w:styleId="CommentSubjectChar">
    <w:name w:val="Comment Subject Char"/>
    <w:basedOn w:val="CommentTextChar"/>
    <w:link w:val="CommentSubject"/>
    <w:uiPriority w:val="99"/>
    <w:semiHidden/>
    <w:rsid w:val="00C1375F"/>
    <w:rPr>
      <w:b/>
      <w:bCs/>
      <w:sz w:val="20"/>
      <w:szCs w:val="20"/>
    </w:rPr>
  </w:style>
  <w:style w:type="paragraph" w:customStyle="1" w:styleId="FS101">
    <w:name w:val="FS#1.01"/>
    <w:basedOn w:val="Normal"/>
    <w:rsid w:val="002805CC"/>
    <w:pPr>
      <w:tabs>
        <w:tab w:val="left" w:pos="1008"/>
        <w:tab w:val="left" w:pos="1440"/>
        <w:tab w:val="left" w:pos="1872"/>
        <w:tab w:val="left" w:pos="2304"/>
        <w:tab w:val="left" w:pos="2736"/>
        <w:tab w:val="left" w:pos="3168"/>
        <w:tab w:val="left" w:pos="3600"/>
        <w:tab w:val="left" w:pos="4032"/>
      </w:tabs>
      <w:spacing w:after="240" w:line="240" w:lineRule="auto"/>
    </w:pPr>
    <w:rPr>
      <w:rFonts w:ascii="Arial" w:eastAsia="Times New Roman" w:hAnsi="Arial" w:cs="Times New Roman"/>
      <w:sz w:val="20"/>
      <w:szCs w:val="20"/>
    </w:rPr>
  </w:style>
  <w:style w:type="paragraph" w:styleId="HTMLPreformatted">
    <w:name w:val="HTML Preformatted"/>
    <w:basedOn w:val="Normal"/>
    <w:link w:val="HTMLPreformattedChar"/>
    <w:uiPriority w:val="99"/>
    <w:semiHidden/>
    <w:unhideWhenUsed/>
    <w:rsid w:val="002A7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A71D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464405">
      <w:bodyDiv w:val="1"/>
      <w:marLeft w:val="0"/>
      <w:marRight w:val="0"/>
      <w:marTop w:val="0"/>
      <w:marBottom w:val="0"/>
      <w:divBdr>
        <w:top w:val="none" w:sz="0" w:space="0" w:color="auto"/>
        <w:left w:val="none" w:sz="0" w:space="0" w:color="auto"/>
        <w:bottom w:val="none" w:sz="0" w:space="0" w:color="auto"/>
        <w:right w:val="none" w:sz="0" w:space="0" w:color="auto"/>
      </w:divBdr>
    </w:div>
    <w:div w:id="902986962">
      <w:bodyDiv w:val="1"/>
      <w:marLeft w:val="0"/>
      <w:marRight w:val="0"/>
      <w:marTop w:val="0"/>
      <w:marBottom w:val="0"/>
      <w:divBdr>
        <w:top w:val="none" w:sz="0" w:space="0" w:color="auto"/>
        <w:left w:val="none" w:sz="0" w:space="0" w:color="auto"/>
        <w:bottom w:val="none" w:sz="0" w:space="0" w:color="auto"/>
        <w:right w:val="none" w:sz="0" w:space="0" w:color="auto"/>
      </w:divBdr>
    </w:div>
    <w:div w:id="1158576901">
      <w:bodyDiv w:val="1"/>
      <w:marLeft w:val="0"/>
      <w:marRight w:val="0"/>
      <w:marTop w:val="0"/>
      <w:marBottom w:val="0"/>
      <w:divBdr>
        <w:top w:val="none" w:sz="0" w:space="0" w:color="auto"/>
        <w:left w:val="none" w:sz="0" w:space="0" w:color="auto"/>
        <w:bottom w:val="none" w:sz="0" w:space="0" w:color="auto"/>
        <w:right w:val="none" w:sz="0" w:space="0" w:color="auto"/>
      </w:divBdr>
    </w:div>
    <w:div w:id="166057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767</Words>
  <Characters>4372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Michael Baker Corp.</Company>
  <LinksUpToDate>false</LinksUpToDate>
  <CharactersWithSpaces>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Global Impact</dc:creator>
  <cp:keywords/>
  <dc:description/>
  <cp:lastModifiedBy>John Liss Corelus</cp:lastModifiedBy>
  <cp:revision>2</cp:revision>
  <cp:lastPrinted>2018-07-20T21:27:00Z</cp:lastPrinted>
  <dcterms:created xsi:type="dcterms:W3CDTF">2019-05-14T18:07:00Z</dcterms:created>
  <dcterms:modified xsi:type="dcterms:W3CDTF">2019-05-14T18:07:00Z</dcterms:modified>
</cp:coreProperties>
</file>