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330A8026" w:rsidR="00EC1322" w:rsidRPr="00072457" w:rsidRDefault="000D1DF1" w:rsidP="00EC1322">
      <w:pPr>
        <w:jc w:val="center"/>
        <w:rPr>
          <w:rFonts w:ascii="Times New Roman" w:hAnsi="Times New Roman" w:cs="Times New Roman"/>
          <w:b/>
          <w:sz w:val="28"/>
          <w:lang w:val="fr-FR"/>
        </w:rPr>
      </w:pPr>
      <w:bookmarkStart w:id="0" w:name="_Hlk517717437"/>
      <w:bookmarkStart w:id="1" w:name="_GoBack"/>
      <w:bookmarkEnd w:id="1"/>
      <w:r>
        <w:rPr>
          <w:rFonts w:ascii="Times New Roman" w:eastAsia="Times New Roman" w:hAnsi="Times New Roman" w:cs="Times New Roman"/>
          <w:b/>
          <w:bCs/>
          <w:sz w:val="28"/>
          <w:szCs w:val="28"/>
          <w:bdr w:val="nil"/>
          <w:lang w:val="fr-FR"/>
        </w:rPr>
        <w:t>SECTION 26 31 00</w:t>
      </w:r>
    </w:p>
    <w:p w14:paraId="5C6EF4B4" w14:textId="7777CD94" w:rsidR="00543381" w:rsidRPr="00072457" w:rsidRDefault="000D1DF1" w:rsidP="00543381">
      <w:pPr>
        <w:jc w:val="center"/>
        <w:rPr>
          <w:rFonts w:ascii="Times New Roman" w:hAnsi="Times New Roman" w:cs="Times New Roman"/>
          <w:b/>
          <w:sz w:val="28"/>
          <w:lang w:val="fr-FR"/>
        </w:rPr>
      </w:pPr>
      <w:r>
        <w:rPr>
          <w:rFonts w:ascii="Times New Roman" w:eastAsia="Times New Roman" w:hAnsi="Times New Roman" w:cs="Times New Roman"/>
          <w:b/>
          <w:bCs/>
          <w:sz w:val="28"/>
          <w:szCs w:val="28"/>
          <w:bdr w:val="nil"/>
          <w:lang w:val="fr-FR"/>
        </w:rPr>
        <w:t>Collecteurs photovoltaïques</w:t>
      </w:r>
    </w:p>
    <w:bookmarkEnd w:id="0"/>
    <w:p w14:paraId="1600D767" w14:textId="77777777" w:rsidR="00072457" w:rsidRDefault="000D1DF1" w:rsidP="00072457">
      <w:pPr>
        <w:spacing w:after="0"/>
        <w:rPr>
          <w:rFonts w:ascii="Times New Roman" w:hAnsi="Times New Roman" w:cs="Times New Roman"/>
          <w:b/>
          <w:color w:val="000000" w:themeColor="text1"/>
        </w:rPr>
      </w:pPr>
      <w:r>
        <w:rPr>
          <w:rFonts w:ascii="Times New Roman" w:eastAsia="Times New Roman" w:hAnsi="Times New Roman" w:cs="Times New Roman"/>
          <w:b/>
          <w:bCs/>
          <w:bdr w:val="nil"/>
          <w:lang w:val="fr-FR"/>
        </w:rPr>
        <w:t>PA</w:t>
      </w:r>
      <w:r>
        <w:rPr>
          <w:rFonts w:ascii="Times New Roman" w:eastAsia="Times New Roman" w:hAnsi="Times New Roman" w:cs="Times New Roman"/>
          <w:b/>
          <w:bCs/>
          <w:color w:val="000000"/>
          <w:bdr w:val="nil"/>
          <w:lang w:val="fr-FR"/>
        </w:rPr>
        <w:t>RTIE 1 - GÉNÉRAL</w:t>
      </w:r>
    </w:p>
    <w:p w14:paraId="395447C9" w14:textId="77777777" w:rsidR="00072457" w:rsidRDefault="00072457" w:rsidP="00072457">
      <w:pPr>
        <w:spacing w:after="0"/>
        <w:rPr>
          <w:rFonts w:ascii="Times New Roman" w:hAnsi="Times New Roman" w:cs="Times New Roman"/>
          <w:b/>
          <w:color w:val="000000" w:themeColor="text1"/>
        </w:rPr>
      </w:pPr>
    </w:p>
    <w:p w14:paraId="7152BACA" w14:textId="77777777" w:rsidR="00072457" w:rsidRPr="007E5FDA" w:rsidRDefault="000D1DF1" w:rsidP="00072457">
      <w:pPr>
        <w:pStyle w:val="Heading1"/>
        <w:keepNext w:val="0"/>
        <w:keepLines w:val="0"/>
        <w:numPr>
          <w:ilvl w:val="0"/>
          <w:numId w:val="1"/>
        </w:numPr>
        <w:spacing w:before="120"/>
        <w:ind w:left="450" w:hanging="450"/>
        <w:rPr>
          <w:rFonts w:ascii="Times New Roman" w:hAnsi="Times New Roman" w:cs="Times New Roman"/>
          <w:b/>
        </w:rPr>
      </w:pPr>
      <w:r>
        <w:rPr>
          <w:rFonts w:ascii="Cambria" w:eastAsia="Cambria" w:hAnsi="Cambria" w:cs="Cambria"/>
          <w:color w:val="000000"/>
          <w:bdr w:val="nil"/>
          <w:lang w:val="fr-FR"/>
        </w:rPr>
        <w:t>RÉSUMÉ</w:t>
      </w:r>
    </w:p>
    <w:p w14:paraId="0DD4D03F" w14:textId="54443BCF" w:rsidR="00072457" w:rsidRPr="000D1DF1" w:rsidRDefault="000D1DF1" w:rsidP="00434ACC">
      <w:pPr>
        <w:pStyle w:val="Heading2"/>
        <w:keepNext w:val="0"/>
        <w:keepLines w:val="0"/>
        <w:numPr>
          <w:ilvl w:val="1"/>
          <w:numId w:val="5"/>
        </w:numPr>
        <w:ind w:left="1080" w:hanging="360"/>
        <w:rPr>
          <w:lang w:val="fr-HT"/>
        </w:rPr>
      </w:pPr>
      <w:r>
        <w:rPr>
          <w:rFonts w:ascii="Cambria" w:eastAsia="Cambria" w:hAnsi="Cambria" w:cs="Cambria"/>
          <w:color w:val="000000"/>
          <w:szCs w:val="24"/>
          <w:bdr w:val="nil"/>
          <w:lang w:val="fr-FR"/>
        </w:rPr>
        <w:t>La section comprend des instructions pour la fourniture d'un réseau de panneaux photovoltaïques, avec les commandes et le câblage associés, pour l'alimentation en énergie de deux pompes submersibles dans les puits F1 et F2.</w:t>
      </w:r>
    </w:p>
    <w:p w14:paraId="270F993A" w14:textId="79BDC899" w:rsidR="00DC69EF" w:rsidRPr="00395522" w:rsidRDefault="000D1DF1" w:rsidP="00DC69EF">
      <w:pPr>
        <w:pStyle w:val="Heading1"/>
        <w:keepNext w:val="0"/>
        <w:keepLines w:val="0"/>
        <w:numPr>
          <w:ilvl w:val="0"/>
          <w:numId w:val="1"/>
        </w:numPr>
        <w:spacing w:before="120"/>
        <w:ind w:left="450" w:hanging="450"/>
      </w:pPr>
      <w:r>
        <w:rPr>
          <w:rFonts w:ascii="Cambria" w:eastAsia="Cambria" w:hAnsi="Cambria" w:cs="Cambria"/>
          <w:color w:val="000000"/>
          <w:bdr w:val="nil"/>
          <w:lang w:val="fr-FR"/>
        </w:rPr>
        <w:t>PRIX ET MODALITÉS DE PAIEMENT</w:t>
      </w:r>
    </w:p>
    <w:p w14:paraId="1114FD2B" w14:textId="77777777" w:rsidR="00B34FD8" w:rsidRPr="000D1DF1" w:rsidRDefault="000D1DF1" w:rsidP="00B34FD8">
      <w:pPr>
        <w:pStyle w:val="Heading2"/>
        <w:numPr>
          <w:ilvl w:val="1"/>
          <w:numId w:val="29"/>
        </w:numPr>
        <w:rPr>
          <w:lang w:val="fr-HT"/>
        </w:rPr>
      </w:pPr>
      <w:r>
        <w:rPr>
          <w:rFonts w:ascii="Cambria" w:eastAsia="Cambria" w:hAnsi="Cambria" w:cs="Cambria"/>
          <w:color w:val="000000"/>
          <w:szCs w:val="24"/>
          <w:bdr w:val="nil"/>
          <w:lang w:val="fr-FR"/>
        </w:rPr>
        <w:t>Le prix unitaire est tel détaillé dans la section 00 70 00</w:t>
      </w:r>
    </w:p>
    <w:p w14:paraId="1086D804" w14:textId="48DBEC5C" w:rsidR="00B34FD8" w:rsidRPr="000D1DF1" w:rsidRDefault="000D1DF1" w:rsidP="00B34FD8">
      <w:pPr>
        <w:pStyle w:val="Heading2"/>
        <w:numPr>
          <w:ilvl w:val="1"/>
          <w:numId w:val="29"/>
        </w:numPr>
        <w:ind w:left="1080" w:hanging="360"/>
        <w:rPr>
          <w:lang w:val="fr-HT"/>
        </w:rPr>
      </w:pPr>
      <w:r>
        <w:rPr>
          <w:rFonts w:ascii="Cambria" w:eastAsia="Cambria" w:hAnsi="Cambria" w:cs="Cambria"/>
          <w:color w:val="000000"/>
          <w:szCs w:val="24"/>
          <w:bdr w:val="nil"/>
          <w:lang w:val="fr-FR"/>
        </w:rPr>
        <w:t xml:space="preserve">Mesure - comprend l’achat et tous les travaux connexes pour l’installation de panneaux solaires, de panneaux de rechange, de conduits et câbles électriques associés, ainsi que de composants de système électrique </w:t>
      </w:r>
      <w:r>
        <w:rPr>
          <w:rFonts w:ascii="Cambria" w:eastAsia="Cambria" w:hAnsi="Cambria" w:cs="Cambria"/>
          <w:color w:val="000000"/>
          <w:szCs w:val="24"/>
          <w:bdr w:val="nil"/>
          <w:lang w:val="fr-FR"/>
        </w:rPr>
        <w:t>nécessaires pour acheminer le courant continu aux abris des puits F1 et F2, comme indiqué ou requis pour effectuer le travail décrit à la section 26 31 00 et sur les plans. Le travail et les composants à l'intérieur des abris des puits seront mesurés et pa</w:t>
      </w:r>
      <w:r>
        <w:rPr>
          <w:rFonts w:ascii="Cambria" w:eastAsia="Cambria" w:hAnsi="Cambria" w:cs="Cambria"/>
          <w:color w:val="000000"/>
          <w:szCs w:val="24"/>
          <w:bdr w:val="nil"/>
          <w:lang w:val="fr-FR"/>
        </w:rPr>
        <w:t>yés au prix forfaitaire contractuel proposé pour les pompes immergées centrifuges multicellulaires pour puits. La fabrication et le montage du rail solaire doivent être payés au prix forfaitaire de contrat pour les charpentes en acier. Les travaux d'excava</w:t>
      </w:r>
      <w:r>
        <w:rPr>
          <w:rFonts w:ascii="Cambria" w:eastAsia="Cambria" w:hAnsi="Cambria" w:cs="Cambria"/>
          <w:color w:val="000000"/>
          <w:szCs w:val="24"/>
          <w:bdr w:val="nil"/>
          <w:lang w:val="fr-FR"/>
        </w:rPr>
        <w:t xml:space="preserve">tion de tranchées et de remblayage de conduits </w:t>
      </w:r>
      <w:proofErr w:type="gramStart"/>
      <w:r>
        <w:rPr>
          <w:rFonts w:ascii="Cambria" w:eastAsia="Cambria" w:hAnsi="Cambria" w:cs="Cambria"/>
          <w:color w:val="000000"/>
          <w:szCs w:val="24"/>
          <w:bdr w:val="nil"/>
          <w:lang w:val="fr-FR"/>
        </w:rPr>
        <w:t>doivent</w:t>
      </w:r>
      <w:proofErr w:type="gramEnd"/>
      <w:r>
        <w:rPr>
          <w:rFonts w:ascii="Cambria" w:eastAsia="Cambria" w:hAnsi="Cambria" w:cs="Cambria"/>
          <w:color w:val="000000"/>
          <w:szCs w:val="24"/>
          <w:bdr w:val="nil"/>
          <w:lang w:val="fr-FR"/>
        </w:rPr>
        <w:t xml:space="preserve"> être payés au prix unitaire contractuel pour Excavation et remblayage.</w:t>
      </w:r>
    </w:p>
    <w:p w14:paraId="6513E63B" w14:textId="77777777" w:rsidR="00072457" w:rsidRPr="00F02E8B" w:rsidRDefault="000D1DF1" w:rsidP="00072457">
      <w:pPr>
        <w:pStyle w:val="Heading1"/>
        <w:keepNext w:val="0"/>
        <w:keepLines w:val="0"/>
        <w:numPr>
          <w:ilvl w:val="0"/>
          <w:numId w:val="1"/>
        </w:numPr>
        <w:ind w:left="450" w:hanging="450"/>
      </w:pPr>
      <w:r>
        <w:rPr>
          <w:rFonts w:ascii="Cambria" w:eastAsia="Cambria" w:hAnsi="Cambria" w:cs="Cambria"/>
          <w:color w:val="000000"/>
          <w:bdr w:val="nil"/>
          <w:lang w:val="fr-FR"/>
        </w:rPr>
        <w:t>SECTIONS CONNEXES</w:t>
      </w:r>
    </w:p>
    <w:p w14:paraId="4774578D" w14:textId="77777777" w:rsidR="00072457" w:rsidRPr="000D1DF1" w:rsidRDefault="000D1DF1" w:rsidP="00434ACC">
      <w:pPr>
        <w:pStyle w:val="Heading2"/>
        <w:keepNext w:val="0"/>
        <w:keepLines w:val="0"/>
        <w:numPr>
          <w:ilvl w:val="1"/>
          <w:numId w:val="10"/>
        </w:numPr>
        <w:ind w:left="1080" w:hanging="360"/>
        <w:rPr>
          <w:lang w:val="fr-HT"/>
        </w:rPr>
      </w:pPr>
      <w:bookmarkStart w:id="2" w:name="_Hlk460866"/>
      <w:r>
        <w:rPr>
          <w:rFonts w:ascii="Cambria" w:eastAsia="Cambria" w:hAnsi="Cambria" w:cs="Cambria"/>
          <w:color w:val="000000"/>
          <w:szCs w:val="24"/>
          <w:bdr w:val="nil"/>
          <w:lang w:val="fr-FR"/>
        </w:rPr>
        <w:t xml:space="preserve">Section 00 70 00 Conditions générales et Contrat d'infrastructure en sous-traitance à prix fixe et prix unitaire fixe </w:t>
      </w:r>
    </w:p>
    <w:bookmarkEnd w:id="2"/>
    <w:p w14:paraId="6A69FBFE" w14:textId="3AF19D39" w:rsidR="000C287A" w:rsidRPr="000D1DF1" w:rsidRDefault="000D1DF1" w:rsidP="00434ACC">
      <w:pPr>
        <w:pStyle w:val="Heading2"/>
        <w:keepNext w:val="0"/>
        <w:keepLines w:val="0"/>
        <w:numPr>
          <w:ilvl w:val="1"/>
          <w:numId w:val="5"/>
        </w:numPr>
        <w:ind w:left="1080" w:hanging="360"/>
        <w:rPr>
          <w:rFonts w:eastAsiaTheme="minorHAnsi" w:cstheme="minorBidi"/>
          <w:color w:val="auto"/>
          <w:szCs w:val="24"/>
          <w:lang w:val="fr-HT"/>
        </w:rPr>
      </w:pPr>
      <w:r>
        <w:rPr>
          <w:rFonts w:ascii="Cambria" w:eastAsia="Cambria" w:hAnsi="Cambria" w:cs="Cambria"/>
          <w:color w:val="000000"/>
          <w:szCs w:val="24"/>
          <w:bdr w:val="nil"/>
          <w:lang w:val="fr-FR"/>
        </w:rPr>
        <w:t>Section 33 1</w:t>
      </w:r>
      <w:r>
        <w:rPr>
          <w:rFonts w:ascii="Cambria" w:eastAsia="Cambria" w:hAnsi="Cambria" w:cs="Cambria"/>
          <w:color w:val="000000"/>
          <w:szCs w:val="24"/>
          <w:bdr w:val="nil"/>
          <w:lang w:val="fr-FR"/>
        </w:rPr>
        <w:t>1 36 Pompes immergées centrifuges multicellulaires pour puits</w:t>
      </w:r>
    </w:p>
    <w:p w14:paraId="7951E7EE" w14:textId="6BABF74E" w:rsidR="00F02E8B" w:rsidRPr="00F02E8B" w:rsidRDefault="000D1DF1" w:rsidP="00F02E8B">
      <w:pPr>
        <w:pStyle w:val="Heading2"/>
        <w:keepNext w:val="0"/>
        <w:keepLines w:val="0"/>
        <w:numPr>
          <w:ilvl w:val="1"/>
          <w:numId w:val="5"/>
        </w:numPr>
        <w:ind w:left="1080" w:hanging="360"/>
      </w:pPr>
      <w:bookmarkStart w:id="3" w:name="_Hlk551114"/>
      <w:r>
        <w:rPr>
          <w:rFonts w:ascii="Cambria" w:eastAsia="Cambria" w:hAnsi="Cambria" w:cs="Cambria"/>
          <w:color w:val="000000"/>
          <w:szCs w:val="24"/>
          <w:bdr w:val="nil"/>
          <w:lang w:val="fr-FR"/>
        </w:rPr>
        <w:t>05 10 00</w:t>
      </w:r>
      <w:bookmarkEnd w:id="3"/>
      <w:r>
        <w:rPr>
          <w:rFonts w:ascii="Cambria" w:eastAsia="Cambria" w:hAnsi="Cambria" w:cs="Cambria"/>
          <w:color w:val="000000"/>
          <w:szCs w:val="24"/>
          <w:bdr w:val="nil"/>
          <w:lang w:val="fr-FR"/>
        </w:rPr>
        <w:t xml:space="preserve"> Charpente d'acier</w:t>
      </w:r>
    </w:p>
    <w:p w14:paraId="3F7769B9" w14:textId="587A6223" w:rsidR="00F02E8B" w:rsidRDefault="000D1DF1" w:rsidP="00F02E8B">
      <w:pPr>
        <w:pStyle w:val="Heading2"/>
        <w:keepNext w:val="0"/>
        <w:keepLines w:val="0"/>
        <w:numPr>
          <w:ilvl w:val="1"/>
          <w:numId w:val="10"/>
        </w:numPr>
        <w:ind w:left="1080" w:hanging="360"/>
      </w:pPr>
      <w:r>
        <w:rPr>
          <w:rFonts w:ascii="Cambria" w:eastAsia="Cambria" w:hAnsi="Cambria" w:cs="Cambria"/>
          <w:color w:val="000000"/>
          <w:szCs w:val="24"/>
          <w:bdr w:val="nil"/>
          <w:lang w:val="fr-FR"/>
        </w:rPr>
        <w:t xml:space="preserve">Section </w:t>
      </w:r>
      <w:r>
        <w:rPr>
          <w:rFonts w:ascii="Cambria" w:eastAsia="Cambria" w:hAnsi="Cambria" w:cs="Cambria"/>
          <w:color w:val="000000"/>
          <w:szCs w:val="24"/>
          <w:bdr w:val="nil"/>
          <w:lang w:val="fr-FR"/>
        </w:rPr>
        <w:t>03 30 00 Béton moulé en place</w:t>
      </w:r>
    </w:p>
    <w:p w14:paraId="6A13AF1B" w14:textId="3644DBEA" w:rsidR="00B34FD8" w:rsidRPr="000D1DF1" w:rsidRDefault="000D1DF1" w:rsidP="00B34FD8">
      <w:pPr>
        <w:pStyle w:val="Heading2"/>
        <w:keepNext w:val="0"/>
        <w:keepLines w:val="0"/>
        <w:numPr>
          <w:ilvl w:val="1"/>
          <w:numId w:val="10"/>
        </w:numPr>
        <w:ind w:left="1080" w:hanging="360"/>
        <w:rPr>
          <w:lang w:val="fr-HT"/>
        </w:rPr>
      </w:pPr>
      <w:r>
        <w:rPr>
          <w:rFonts w:ascii="Cambria" w:eastAsia="Cambria" w:hAnsi="Cambria" w:cs="Cambria"/>
          <w:color w:val="000000"/>
          <w:szCs w:val="24"/>
          <w:bdr w:val="nil"/>
          <w:lang w:val="fr-FR"/>
        </w:rPr>
        <w:t>Section 01 25 13 Procédures de substitution de produit</w:t>
      </w:r>
    </w:p>
    <w:p w14:paraId="0E8C0187" w14:textId="77777777" w:rsidR="00BE6CBA" w:rsidRPr="00571BD2" w:rsidRDefault="000D1DF1" w:rsidP="00BE6CBA">
      <w:pPr>
        <w:pStyle w:val="Heading2"/>
        <w:keepNext w:val="0"/>
        <w:keepLines w:val="0"/>
        <w:numPr>
          <w:ilvl w:val="1"/>
          <w:numId w:val="10"/>
        </w:numPr>
      </w:pPr>
      <w:r>
        <w:rPr>
          <w:rFonts w:ascii="Cambria" w:eastAsia="Cambria" w:hAnsi="Cambria" w:cs="Cambria"/>
          <w:color w:val="000000"/>
          <w:szCs w:val="24"/>
          <w:bdr w:val="nil"/>
          <w:lang w:val="fr-FR"/>
        </w:rPr>
        <w:t>Section 01 77</w:t>
      </w:r>
      <w:r>
        <w:rPr>
          <w:rFonts w:ascii="Cambria" w:eastAsia="Cambria" w:hAnsi="Cambria" w:cs="Cambria"/>
          <w:color w:val="000000"/>
          <w:szCs w:val="24"/>
          <w:bdr w:val="nil"/>
          <w:lang w:val="fr-FR"/>
        </w:rPr>
        <w:t xml:space="preserve"> 00 Procédures de fermeture</w:t>
      </w:r>
    </w:p>
    <w:p w14:paraId="6728ED68" w14:textId="77777777" w:rsidR="00072457" w:rsidRDefault="000D1DF1" w:rsidP="00072457">
      <w:pPr>
        <w:pStyle w:val="Heading1"/>
        <w:keepNext w:val="0"/>
        <w:keepLines w:val="0"/>
        <w:numPr>
          <w:ilvl w:val="0"/>
          <w:numId w:val="1"/>
        </w:numPr>
        <w:ind w:left="450" w:hanging="450"/>
      </w:pPr>
      <w:r>
        <w:rPr>
          <w:rFonts w:ascii="Cambria" w:eastAsia="Cambria" w:hAnsi="Cambria" w:cs="Cambria"/>
          <w:color w:val="000000"/>
          <w:bdr w:val="nil"/>
          <w:lang w:val="fr-FR"/>
        </w:rPr>
        <w:t>RÉFÉRENCES</w:t>
      </w:r>
    </w:p>
    <w:p w14:paraId="3B01B467" w14:textId="0FF2AB21" w:rsidR="00072457" w:rsidRDefault="000D1DF1" w:rsidP="00434ACC">
      <w:pPr>
        <w:pStyle w:val="Heading2"/>
        <w:keepNext w:val="0"/>
        <w:keepLines w:val="0"/>
        <w:numPr>
          <w:ilvl w:val="1"/>
          <w:numId w:val="11"/>
        </w:numPr>
        <w:ind w:left="1080" w:hanging="360"/>
      </w:pPr>
      <w:r w:rsidRPr="000D1DF1">
        <w:rPr>
          <w:rFonts w:ascii="Cambria" w:eastAsia="Cambria" w:hAnsi="Cambria" w:cs="Cambria"/>
          <w:color w:val="000000"/>
          <w:szCs w:val="24"/>
          <w:bdr w:val="nil"/>
        </w:rPr>
        <w:t xml:space="preserve">IEC/EN 62253: Standard for Photovoltaic pumping systems. </w:t>
      </w:r>
      <w:r>
        <w:rPr>
          <w:rFonts w:ascii="Cambria" w:eastAsia="Cambria" w:hAnsi="Cambria" w:cs="Cambria"/>
          <w:color w:val="000000"/>
          <w:szCs w:val="24"/>
          <w:bdr w:val="nil"/>
          <w:lang w:val="fr-FR"/>
        </w:rPr>
        <w:t>(N</w:t>
      </w:r>
      <w:r>
        <w:rPr>
          <w:rFonts w:ascii="Cambria" w:eastAsia="Cambria" w:hAnsi="Cambria" w:cs="Cambria"/>
          <w:color w:val="000000"/>
          <w:szCs w:val="24"/>
          <w:bdr w:val="nil"/>
          <w:lang w:val="fr-FR"/>
        </w:rPr>
        <w:t xml:space="preserve">orme relative aux systèmes de pompage photovoltaïques.) Qualification de la conception et mesures de performance </w:t>
      </w:r>
    </w:p>
    <w:p w14:paraId="33A7A35E" w14:textId="77777777" w:rsidR="000C287A" w:rsidRPr="000D1DF1" w:rsidRDefault="000D1DF1" w:rsidP="00434ACC">
      <w:pPr>
        <w:pStyle w:val="Heading2"/>
        <w:keepNext w:val="0"/>
        <w:keepLines w:val="0"/>
        <w:numPr>
          <w:ilvl w:val="1"/>
          <w:numId w:val="11"/>
        </w:numPr>
        <w:ind w:left="1080" w:hanging="360"/>
        <w:rPr>
          <w:lang w:val="fr-HT"/>
        </w:rPr>
      </w:pPr>
      <w:r>
        <w:rPr>
          <w:rFonts w:ascii="Cambria" w:eastAsia="Cambria" w:hAnsi="Cambria" w:cs="Cambria"/>
          <w:color w:val="000000"/>
          <w:szCs w:val="24"/>
          <w:bdr w:val="nil"/>
          <w:lang w:val="fr-FR"/>
        </w:rPr>
        <w:lastRenderedPageBreak/>
        <w:t>ASTM B286 - 07(2017</w:t>
      </w:r>
      <w:proofErr w:type="gramStart"/>
      <w:r>
        <w:rPr>
          <w:rFonts w:ascii="Cambria" w:eastAsia="Cambria" w:hAnsi="Cambria" w:cs="Cambria"/>
          <w:color w:val="000000"/>
          <w:szCs w:val="24"/>
          <w:bdr w:val="nil"/>
          <w:lang w:val="fr-FR"/>
        </w:rPr>
        <w:t>):</w:t>
      </w:r>
      <w:proofErr w:type="gramEnd"/>
      <w:r>
        <w:rPr>
          <w:rFonts w:ascii="Cambria" w:eastAsia="Cambria" w:hAnsi="Cambria" w:cs="Cambria"/>
          <w:color w:val="000000"/>
          <w:szCs w:val="24"/>
          <w:bdr w:val="nil"/>
          <w:lang w:val="fr-FR"/>
        </w:rPr>
        <w:t xml:space="preserve"> Standard </w:t>
      </w:r>
      <w:proofErr w:type="spellStart"/>
      <w:r>
        <w:rPr>
          <w:rFonts w:ascii="Cambria" w:eastAsia="Cambria" w:hAnsi="Cambria" w:cs="Cambria"/>
          <w:color w:val="000000"/>
          <w:szCs w:val="24"/>
          <w:bdr w:val="nil"/>
          <w:lang w:val="fr-FR"/>
        </w:rPr>
        <w:t>Specification</w:t>
      </w:r>
      <w:proofErr w:type="spellEnd"/>
      <w:r>
        <w:rPr>
          <w:rFonts w:ascii="Cambria" w:eastAsia="Cambria" w:hAnsi="Cambria" w:cs="Cambria"/>
          <w:color w:val="000000"/>
          <w:szCs w:val="24"/>
          <w:bdr w:val="nil"/>
          <w:lang w:val="fr-FR"/>
        </w:rPr>
        <w:t xml:space="preserve"> for Copper </w:t>
      </w:r>
      <w:proofErr w:type="spellStart"/>
      <w:r>
        <w:rPr>
          <w:rFonts w:ascii="Cambria" w:eastAsia="Cambria" w:hAnsi="Cambria" w:cs="Cambria"/>
          <w:color w:val="000000"/>
          <w:szCs w:val="24"/>
          <w:bdr w:val="nil"/>
          <w:lang w:val="fr-FR"/>
        </w:rPr>
        <w:t>Conduct</w:t>
      </w:r>
      <w:r>
        <w:rPr>
          <w:rFonts w:ascii="Cambria" w:eastAsia="Cambria" w:hAnsi="Cambria" w:cs="Cambria"/>
          <w:color w:val="000000"/>
          <w:szCs w:val="24"/>
          <w:bdr w:val="nil"/>
          <w:lang w:val="fr-FR"/>
        </w:rPr>
        <w:t>ors</w:t>
      </w:r>
      <w:proofErr w:type="spellEnd"/>
      <w:r>
        <w:rPr>
          <w:rFonts w:ascii="Cambria" w:eastAsia="Cambria" w:hAnsi="Cambria" w:cs="Cambria"/>
          <w:color w:val="000000"/>
          <w:szCs w:val="24"/>
          <w:bdr w:val="nil"/>
          <w:lang w:val="fr-FR"/>
        </w:rPr>
        <w:t xml:space="preserve"> for Use in </w:t>
      </w:r>
      <w:proofErr w:type="spellStart"/>
      <w:r>
        <w:rPr>
          <w:rFonts w:ascii="Cambria" w:eastAsia="Cambria" w:hAnsi="Cambria" w:cs="Cambria"/>
          <w:color w:val="000000"/>
          <w:szCs w:val="24"/>
          <w:bdr w:val="nil"/>
          <w:lang w:val="fr-FR"/>
        </w:rPr>
        <w:t>Hookup</w:t>
      </w:r>
      <w:proofErr w:type="spellEnd"/>
      <w:r>
        <w:rPr>
          <w:rFonts w:ascii="Cambria" w:eastAsia="Cambria" w:hAnsi="Cambria" w:cs="Cambria"/>
          <w:color w:val="000000"/>
          <w:szCs w:val="24"/>
          <w:bdr w:val="nil"/>
          <w:lang w:val="fr-FR"/>
        </w:rPr>
        <w:t xml:space="preserve"> Wire for </w:t>
      </w:r>
      <w:proofErr w:type="spellStart"/>
      <w:r>
        <w:rPr>
          <w:rFonts w:ascii="Cambria" w:eastAsia="Cambria" w:hAnsi="Cambria" w:cs="Cambria"/>
          <w:color w:val="000000"/>
          <w:szCs w:val="24"/>
          <w:bdr w:val="nil"/>
          <w:lang w:val="fr-FR"/>
        </w:rPr>
        <w:t>Electronic</w:t>
      </w:r>
      <w:proofErr w:type="spellEnd"/>
      <w:r>
        <w:rPr>
          <w:rFonts w:ascii="Cambria" w:eastAsia="Cambria" w:hAnsi="Cambria" w:cs="Cambria"/>
          <w:color w:val="000000"/>
          <w:szCs w:val="24"/>
          <w:bdr w:val="nil"/>
          <w:lang w:val="fr-FR"/>
        </w:rPr>
        <w:t xml:space="preserve"> Equipment (spécification standardisée pour les conducteurs en cuivre destinés à être utilisés dans les fils de raccordement pour appareils électroniques)</w:t>
      </w:r>
    </w:p>
    <w:p w14:paraId="41331EF8" w14:textId="77777777" w:rsidR="000C287A" w:rsidRPr="002B0593" w:rsidRDefault="000D1DF1" w:rsidP="00434ACC">
      <w:pPr>
        <w:pStyle w:val="Heading2"/>
        <w:keepNext w:val="0"/>
        <w:keepLines w:val="0"/>
        <w:numPr>
          <w:ilvl w:val="1"/>
          <w:numId w:val="11"/>
        </w:numPr>
      </w:pPr>
      <w:r>
        <w:rPr>
          <w:rFonts w:ascii="Cambria" w:eastAsia="Cambria" w:hAnsi="Cambria" w:cs="Cambria"/>
          <w:color w:val="000000"/>
          <w:szCs w:val="24"/>
          <w:bdr w:val="nil"/>
          <w:lang w:val="fr-FR"/>
        </w:rPr>
        <w:t xml:space="preserve">NFPA 70 National Electric Code </w:t>
      </w:r>
    </w:p>
    <w:p w14:paraId="6137F76B" w14:textId="77777777" w:rsidR="000C287A" w:rsidRDefault="000D1DF1" w:rsidP="00434ACC">
      <w:pPr>
        <w:pStyle w:val="Heading2"/>
        <w:keepNext w:val="0"/>
        <w:keepLines w:val="0"/>
        <w:numPr>
          <w:ilvl w:val="1"/>
          <w:numId w:val="11"/>
        </w:numPr>
      </w:pPr>
      <w:r>
        <w:rPr>
          <w:rFonts w:ascii="Cambria" w:eastAsia="Cambria" w:hAnsi="Cambria" w:cs="Cambria"/>
          <w:color w:val="000000"/>
          <w:szCs w:val="24"/>
          <w:bdr w:val="nil"/>
          <w:lang w:val="fr-FR"/>
        </w:rPr>
        <w:t xml:space="preserve">NEMA - National </w:t>
      </w:r>
      <w:proofErr w:type="spellStart"/>
      <w:r>
        <w:rPr>
          <w:rFonts w:ascii="Cambria" w:eastAsia="Cambria" w:hAnsi="Cambria" w:cs="Cambria"/>
          <w:color w:val="000000"/>
          <w:szCs w:val="24"/>
          <w:bdr w:val="nil"/>
          <w:lang w:val="fr-FR"/>
        </w:rPr>
        <w:t>Electrical</w:t>
      </w:r>
      <w:proofErr w:type="spellEnd"/>
      <w:r>
        <w:rPr>
          <w:rFonts w:ascii="Cambria" w:eastAsia="Cambria" w:hAnsi="Cambria" w:cs="Cambria"/>
          <w:color w:val="000000"/>
          <w:szCs w:val="24"/>
          <w:bdr w:val="nil"/>
          <w:lang w:val="fr-FR"/>
        </w:rPr>
        <w:t xml:space="preserve"> </w:t>
      </w:r>
      <w:proofErr w:type="spellStart"/>
      <w:r>
        <w:rPr>
          <w:rFonts w:ascii="Cambria" w:eastAsia="Cambria" w:hAnsi="Cambria" w:cs="Cambria"/>
          <w:color w:val="000000"/>
          <w:szCs w:val="24"/>
          <w:bdr w:val="nil"/>
          <w:lang w:val="fr-FR"/>
        </w:rPr>
        <w:t>Manufacturer’s</w:t>
      </w:r>
      <w:proofErr w:type="spellEnd"/>
      <w:r>
        <w:rPr>
          <w:rFonts w:ascii="Cambria" w:eastAsia="Cambria" w:hAnsi="Cambria" w:cs="Cambria"/>
          <w:color w:val="000000"/>
          <w:szCs w:val="24"/>
          <w:bdr w:val="nil"/>
          <w:lang w:val="fr-FR"/>
        </w:rPr>
        <w:t xml:space="preserve"> Association</w:t>
      </w:r>
    </w:p>
    <w:p w14:paraId="6B9BBC38" w14:textId="40774C0E" w:rsidR="000C287A" w:rsidRDefault="000D1DF1" w:rsidP="00434ACC">
      <w:pPr>
        <w:pStyle w:val="Heading2"/>
        <w:keepNext w:val="0"/>
        <w:keepLines w:val="0"/>
        <w:numPr>
          <w:ilvl w:val="1"/>
          <w:numId w:val="11"/>
        </w:numPr>
      </w:pPr>
      <w:r>
        <w:rPr>
          <w:rFonts w:ascii="Cambria" w:eastAsia="Cambria" w:hAnsi="Cambria" w:cs="Cambria"/>
          <w:color w:val="000000"/>
          <w:szCs w:val="24"/>
          <w:bdr w:val="nil"/>
          <w:lang w:val="fr-FR"/>
        </w:rPr>
        <w:t>UL 778</w:t>
      </w:r>
    </w:p>
    <w:p w14:paraId="3BAD8F3A" w14:textId="52730A22" w:rsidR="00CB6E74" w:rsidRPr="00CB6E74" w:rsidRDefault="000D1DF1" w:rsidP="00434ACC">
      <w:pPr>
        <w:pStyle w:val="Heading2"/>
        <w:keepNext w:val="0"/>
        <w:keepLines w:val="0"/>
        <w:numPr>
          <w:ilvl w:val="1"/>
          <w:numId w:val="11"/>
        </w:numPr>
      </w:pPr>
      <w:r w:rsidRPr="000D1DF1">
        <w:rPr>
          <w:rFonts w:ascii="Cambria" w:eastAsia="Cambria" w:hAnsi="Cambria" w:cs="Cambria"/>
          <w:color w:val="000000"/>
          <w:szCs w:val="24"/>
          <w:bdr w:val="nil"/>
        </w:rPr>
        <w:t>ASTM - American Society of Testing Materials</w:t>
      </w:r>
    </w:p>
    <w:p w14:paraId="07374821" w14:textId="77777777" w:rsidR="00072457" w:rsidRDefault="000D1DF1" w:rsidP="00072457">
      <w:pPr>
        <w:pStyle w:val="Heading1"/>
        <w:keepNext w:val="0"/>
        <w:keepLines w:val="0"/>
        <w:numPr>
          <w:ilvl w:val="0"/>
          <w:numId w:val="1"/>
        </w:numPr>
      </w:pPr>
      <w:r>
        <w:rPr>
          <w:rFonts w:ascii="Cambria" w:eastAsia="Cambria" w:hAnsi="Cambria" w:cs="Cambria"/>
          <w:color w:val="000000"/>
          <w:bdr w:val="nil"/>
          <w:lang w:val="fr-FR"/>
        </w:rPr>
        <w:t>DOSSIERS</w:t>
      </w:r>
    </w:p>
    <w:p w14:paraId="6ED6D33B" w14:textId="413ACADF" w:rsidR="00072457" w:rsidRPr="000D1DF1" w:rsidRDefault="000D1DF1" w:rsidP="00434ACC">
      <w:pPr>
        <w:pStyle w:val="Heading2"/>
        <w:keepNext w:val="0"/>
        <w:keepLines w:val="0"/>
        <w:numPr>
          <w:ilvl w:val="1"/>
          <w:numId w:val="12"/>
        </w:numPr>
        <w:rPr>
          <w:lang w:val="fr-HT"/>
        </w:rPr>
      </w:pPr>
      <w:r>
        <w:rPr>
          <w:rFonts w:ascii="Cambria" w:eastAsia="Cambria" w:hAnsi="Cambria" w:cs="Cambria"/>
          <w:color w:val="000000"/>
          <w:szCs w:val="24"/>
          <w:bdr w:val="nil"/>
          <w:lang w:val="fr-FR"/>
        </w:rPr>
        <w:t>Données des produits : sauf indication contraire, soumettre les éléments suivants à l'ingénieur :</w:t>
      </w:r>
    </w:p>
    <w:p w14:paraId="3C2393F7" w14:textId="45146FB7" w:rsidR="00072457" w:rsidRPr="000D1DF1" w:rsidRDefault="000D1DF1" w:rsidP="00072457">
      <w:pPr>
        <w:pStyle w:val="Heading3"/>
        <w:keepNext w:val="0"/>
        <w:keepLines w:val="0"/>
        <w:numPr>
          <w:ilvl w:val="2"/>
          <w:numId w:val="1"/>
        </w:numPr>
        <w:rPr>
          <w:lang w:val="fr-HT"/>
        </w:rPr>
      </w:pPr>
      <w:r>
        <w:rPr>
          <w:rFonts w:ascii="Cambria" w:eastAsia="Cambria" w:hAnsi="Cambria" w:cs="Cambria"/>
          <w:color w:val="000000"/>
          <w:bdr w:val="nil"/>
          <w:lang w:val="fr-FR"/>
        </w:rPr>
        <w:t xml:space="preserve">Fiche technique des panneaux </w:t>
      </w:r>
      <w:r>
        <w:rPr>
          <w:rFonts w:ascii="Cambria" w:eastAsia="Cambria" w:hAnsi="Cambria" w:cs="Cambria"/>
          <w:color w:val="000000"/>
          <w:bdr w:val="nil"/>
          <w:lang w:val="fr-FR"/>
        </w:rPr>
        <w:t xml:space="preserve">photovoltaïques (PV) </w:t>
      </w:r>
    </w:p>
    <w:p w14:paraId="3C0EA8D5" w14:textId="495F3CE1" w:rsidR="00D44902" w:rsidRPr="000D1DF1" w:rsidRDefault="000D1DF1" w:rsidP="00D44902">
      <w:pPr>
        <w:pStyle w:val="Heading3"/>
        <w:keepNext w:val="0"/>
        <w:keepLines w:val="0"/>
        <w:numPr>
          <w:ilvl w:val="2"/>
          <w:numId w:val="1"/>
        </w:numPr>
        <w:rPr>
          <w:lang w:val="fr-HT"/>
        </w:rPr>
      </w:pPr>
      <w:r>
        <w:rPr>
          <w:rFonts w:ascii="Cambria" w:eastAsia="Cambria" w:hAnsi="Cambria" w:cs="Cambria"/>
          <w:color w:val="000000"/>
          <w:bdr w:val="nil"/>
          <w:lang w:val="fr-FR"/>
        </w:rPr>
        <w:t>Connecteurs de panneau PV pour la fixation au cadre de support en métal, y compris le matériel</w:t>
      </w:r>
    </w:p>
    <w:p w14:paraId="47F4F85B" w14:textId="12D85B10" w:rsidR="00513201" w:rsidRPr="000D1DF1" w:rsidRDefault="000D1DF1" w:rsidP="00513201">
      <w:pPr>
        <w:pStyle w:val="Heading3"/>
        <w:keepNext w:val="0"/>
        <w:keepLines w:val="0"/>
        <w:numPr>
          <w:ilvl w:val="2"/>
          <w:numId w:val="1"/>
        </w:numPr>
        <w:rPr>
          <w:lang w:val="fr-HT"/>
        </w:rPr>
      </w:pPr>
      <w:r>
        <w:rPr>
          <w:rFonts w:ascii="Cambria" w:eastAsia="Cambria" w:hAnsi="Cambria" w:cs="Cambria"/>
          <w:color w:val="000000"/>
          <w:bdr w:val="nil"/>
          <w:lang w:val="fr-FR"/>
        </w:rPr>
        <w:t>Spécifications des fils et spécifications pour les sectionneurs PV, les combinateurs et les protecteurs</w:t>
      </w:r>
    </w:p>
    <w:p w14:paraId="09641F28" w14:textId="77777777" w:rsidR="00072457" w:rsidRPr="000D1DF1" w:rsidRDefault="000D1DF1" w:rsidP="00072457">
      <w:pPr>
        <w:pStyle w:val="Heading2"/>
        <w:keepNext w:val="0"/>
        <w:keepLines w:val="0"/>
        <w:ind w:left="1080" w:hanging="360"/>
        <w:rPr>
          <w:sz w:val="23"/>
          <w:szCs w:val="23"/>
          <w:lang w:val="fr-HT"/>
        </w:rPr>
      </w:pPr>
      <w:r>
        <w:rPr>
          <w:rFonts w:ascii="Cambria" w:eastAsia="Cambria" w:hAnsi="Cambria" w:cs="Cambria"/>
          <w:color w:val="000000"/>
          <w:szCs w:val="24"/>
          <w:bdr w:val="nil"/>
          <w:lang w:val="fr-FR"/>
        </w:rPr>
        <w:t>Dessins d'atelier : soumettre les documents suivants c</w:t>
      </w:r>
      <w:r>
        <w:rPr>
          <w:rFonts w:ascii="Cambria" w:eastAsia="Cambria" w:hAnsi="Cambria" w:cs="Cambria"/>
          <w:color w:val="000000"/>
          <w:szCs w:val="24"/>
          <w:bdr w:val="nil"/>
          <w:lang w:val="fr-FR"/>
        </w:rPr>
        <w:t xml:space="preserve">onformément à la section 00 70 00 pour les soumissions : </w:t>
      </w:r>
    </w:p>
    <w:p w14:paraId="610C002B" w14:textId="4BD1E94B" w:rsidR="00072457" w:rsidRPr="000D1DF1" w:rsidRDefault="000D1DF1" w:rsidP="00434ACC">
      <w:pPr>
        <w:pStyle w:val="Heading3"/>
        <w:keepNext w:val="0"/>
        <w:keepLines w:val="0"/>
        <w:numPr>
          <w:ilvl w:val="2"/>
          <w:numId w:val="6"/>
        </w:numPr>
        <w:rPr>
          <w:lang w:val="fr-HT"/>
        </w:rPr>
      </w:pPr>
      <w:r>
        <w:rPr>
          <w:rFonts w:ascii="Cambria" w:eastAsia="Cambria" w:hAnsi="Cambria" w:cs="Cambria"/>
          <w:color w:val="000000"/>
          <w:bdr w:val="nil"/>
          <w:lang w:val="fr-FR"/>
        </w:rPr>
        <w:t>Disposition des tableaux et nombre de panneaux</w:t>
      </w:r>
    </w:p>
    <w:p w14:paraId="246F6C21" w14:textId="46F102A9" w:rsidR="00072457" w:rsidRPr="000D1DF1" w:rsidRDefault="000D1DF1" w:rsidP="00434ACC">
      <w:pPr>
        <w:pStyle w:val="Heading3"/>
        <w:keepNext w:val="0"/>
        <w:keepLines w:val="0"/>
        <w:numPr>
          <w:ilvl w:val="2"/>
          <w:numId w:val="6"/>
        </w:numPr>
        <w:rPr>
          <w:lang w:val="fr-HT"/>
        </w:rPr>
      </w:pPr>
      <w:r>
        <w:rPr>
          <w:rFonts w:ascii="Cambria" w:eastAsia="Cambria" w:hAnsi="Cambria" w:cs="Cambria"/>
          <w:color w:val="000000"/>
          <w:bdr w:val="nil"/>
          <w:lang w:val="fr-FR"/>
        </w:rPr>
        <w:t>Détails de connexion des modules PV à la charpente en acier</w:t>
      </w:r>
    </w:p>
    <w:p w14:paraId="61940727" w14:textId="6BDC26FF" w:rsidR="00072457" w:rsidRDefault="000D1DF1" w:rsidP="00434ACC">
      <w:pPr>
        <w:pStyle w:val="Heading3"/>
        <w:keepNext w:val="0"/>
        <w:keepLines w:val="0"/>
        <w:numPr>
          <w:ilvl w:val="2"/>
          <w:numId w:val="6"/>
        </w:numPr>
      </w:pPr>
      <w:r>
        <w:rPr>
          <w:rFonts w:ascii="Cambria" w:eastAsia="Cambria" w:hAnsi="Cambria" w:cs="Cambria"/>
          <w:color w:val="000000"/>
          <w:bdr w:val="nil"/>
          <w:lang w:val="fr-FR"/>
        </w:rPr>
        <w:t>Acheminement des câbles et câblage du combinateur CC et des composants électriques extérieurs.  Inclure les di</w:t>
      </w:r>
      <w:r>
        <w:rPr>
          <w:rFonts w:ascii="Cambria" w:eastAsia="Cambria" w:hAnsi="Cambria" w:cs="Cambria"/>
          <w:color w:val="000000"/>
          <w:bdr w:val="nil"/>
          <w:lang w:val="fr-FR"/>
        </w:rPr>
        <w:t>mensions, les tailles et les types.</w:t>
      </w:r>
    </w:p>
    <w:p w14:paraId="06E342DB" w14:textId="77777777" w:rsidR="00072457" w:rsidRDefault="000D1DF1" w:rsidP="00072457">
      <w:pPr>
        <w:pStyle w:val="Heading1"/>
        <w:keepNext w:val="0"/>
        <w:keepLines w:val="0"/>
        <w:numPr>
          <w:ilvl w:val="0"/>
          <w:numId w:val="1"/>
        </w:numPr>
      </w:pPr>
      <w:r>
        <w:rPr>
          <w:rFonts w:ascii="Cambria" w:eastAsia="Cambria" w:hAnsi="Cambria" w:cs="Cambria"/>
          <w:color w:val="000000"/>
          <w:bdr w:val="nil"/>
          <w:lang w:val="fr-FR"/>
        </w:rPr>
        <w:t>ASSURANCE QUALITÉ</w:t>
      </w:r>
    </w:p>
    <w:p w14:paraId="5777F647" w14:textId="77777777" w:rsidR="00BE6CBA" w:rsidRPr="000D1DF1" w:rsidRDefault="000D1DF1" w:rsidP="00434ACC">
      <w:pPr>
        <w:pStyle w:val="Heading2"/>
        <w:keepNext w:val="0"/>
        <w:keepLines w:val="0"/>
        <w:numPr>
          <w:ilvl w:val="1"/>
          <w:numId w:val="14"/>
        </w:numPr>
        <w:ind w:left="1080" w:hanging="360"/>
        <w:rPr>
          <w:lang w:val="fr-HT"/>
        </w:rPr>
      </w:pPr>
      <w:r>
        <w:rPr>
          <w:rFonts w:ascii="Cambria" w:eastAsia="Cambria" w:hAnsi="Cambria" w:cs="Cambria"/>
          <w:color w:val="000000"/>
          <w:szCs w:val="24"/>
          <w:bdr w:val="nil"/>
          <w:lang w:val="fr-FR"/>
        </w:rPr>
        <w:t>Inspection et tests : tous les équipements e</w:t>
      </w:r>
      <w:r>
        <w:rPr>
          <w:rFonts w:ascii="Cambria" w:eastAsia="Cambria" w:hAnsi="Cambria" w:cs="Cambria"/>
          <w:color w:val="000000"/>
          <w:szCs w:val="24"/>
          <w:bdr w:val="nil"/>
          <w:lang w:val="fr-FR"/>
        </w:rPr>
        <w:t>t composants fournis peuvent être soumis à des inspections et à des tests requis par l'ingénieur à effectuer par le sous-traitant pendant l'installation et après l'achèvement. Avant l'inspection et les essais, l'équipement doit subir un nettoyage et une pr</w:t>
      </w:r>
      <w:r>
        <w:rPr>
          <w:rFonts w:ascii="Cambria" w:eastAsia="Cambria" w:hAnsi="Cambria" w:cs="Cambria"/>
          <w:color w:val="000000"/>
          <w:szCs w:val="24"/>
          <w:bdr w:val="nil"/>
          <w:lang w:val="fr-FR"/>
        </w:rPr>
        <w:t xml:space="preserve">otection avant la mise en service. </w:t>
      </w:r>
    </w:p>
    <w:p w14:paraId="19BA60B9" w14:textId="2EFE162F" w:rsidR="003D7F5E" w:rsidRPr="000D1DF1" w:rsidRDefault="000D1DF1" w:rsidP="00434ACC">
      <w:pPr>
        <w:pStyle w:val="Heading2"/>
        <w:keepNext w:val="0"/>
        <w:keepLines w:val="0"/>
        <w:numPr>
          <w:ilvl w:val="1"/>
          <w:numId w:val="14"/>
        </w:numPr>
        <w:ind w:left="1080" w:hanging="360"/>
        <w:rPr>
          <w:lang w:val="fr-HT"/>
        </w:rPr>
      </w:pPr>
      <w:r>
        <w:rPr>
          <w:rFonts w:ascii="Cambria" w:eastAsia="Cambria" w:hAnsi="Cambria" w:cs="Cambria"/>
          <w:color w:val="000000"/>
          <w:szCs w:val="24"/>
          <w:bdr w:val="nil"/>
          <w:lang w:val="fr-FR"/>
        </w:rPr>
        <w:t xml:space="preserve">Le sous-traitant doit vérifier et démontrer la conformité avec les détails techniques énumérés dans les soumissions de données techniques. </w:t>
      </w:r>
    </w:p>
    <w:p w14:paraId="64A5E097" w14:textId="4AA5E0B0" w:rsidR="008679EC" w:rsidRPr="000D1DF1" w:rsidRDefault="008679EC" w:rsidP="008679EC">
      <w:pPr>
        <w:rPr>
          <w:lang w:val="fr-HT"/>
        </w:rPr>
      </w:pPr>
    </w:p>
    <w:p w14:paraId="3E3CC58A" w14:textId="77777777" w:rsidR="008679EC" w:rsidRDefault="000D1DF1" w:rsidP="008679EC">
      <w:pPr>
        <w:pStyle w:val="ListParagraph"/>
        <w:numPr>
          <w:ilvl w:val="0"/>
          <w:numId w:val="1"/>
        </w:numPr>
        <w:rPr>
          <w:rFonts w:asciiTheme="majorHAnsi" w:eastAsiaTheme="majorEastAsia" w:hAnsiTheme="majorHAnsi" w:cstheme="majorBidi"/>
          <w:color w:val="000000" w:themeColor="text1"/>
          <w:sz w:val="24"/>
          <w:szCs w:val="24"/>
        </w:rPr>
      </w:pPr>
      <w:r>
        <w:rPr>
          <w:rFonts w:ascii="Cambria" w:eastAsia="Cambria" w:hAnsi="Cambria" w:cs="Cambria"/>
          <w:color w:val="000000"/>
          <w:sz w:val="24"/>
          <w:szCs w:val="24"/>
          <w:bdr w:val="nil"/>
          <w:lang w:val="fr-FR"/>
        </w:rPr>
        <w:t xml:space="preserve">SOUMISSION DE DOCUMENTS D'ENTRETIEN </w:t>
      </w:r>
    </w:p>
    <w:p w14:paraId="3C730C62" w14:textId="0963073F" w:rsidR="008679EC" w:rsidRPr="000D1DF1" w:rsidRDefault="000D1DF1" w:rsidP="008679EC">
      <w:pPr>
        <w:pStyle w:val="Heading2"/>
        <w:keepNext w:val="0"/>
        <w:keepLines w:val="0"/>
        <w:numPr>
          <w:ilvl w:val="1"/>
          <w:numId w:val="33"/>
        </w:numPr>
        <w:ind w:left="1080" w:hanging="360"/>
        <w:rPr>
          <w:szCs w:val="24"/>
          <w:lang w:val="fr-HT"/>
        </w:rPr>
      </w:pPr>
      <w:r>
        <w:rPr>
          <w:rFonts w:ascii="Cambria" w:eastAsia="Cambria" w:hAnsi="Cambria" w:cs="Cambria"/>
          <w:color w:val="000000"/>
          <w:szCs w:val="24"/>
          <w:bdr w:val="nil"/>
          <w:lang w:val="fr-FR"/>
        </w:rPr>
        <w:t>Fournir 6 panneaux photovoltaïques au total identiques à ceux</w:t>
      </w:r>
      <w:r>
        <w:rPr>
          <w:rFonts w:ascii="Cambria" w:eastAsia="Cambria" w:hAnsi="Cambria" w:cs="Cambria"/>
          <w:color w:val="000000"/>
          <w:szCs w:val="24"/>
          <w:bdr w:val="nil"/>
          <w:lang w:val="fr-FR"/>
        </w:rPr>
        <w:t xml:space="preserve"> installés dans le nouveau système de production d'énergie solaire.</w:t>
      </w:r>
    </w:p>
    <w:p w14:paraId="58A9A5FD" w14:textId="77777777" w:rsidR="008679EC" w:rsidRPr="000D1DF1" w:rsidRDefault="008679EC" w:rsidP="008679EC">
      <w:pPr>
        <w:rPr>
          <w:lang w:val="fr-HT"/>
        </w:rPr>
      </w:pPr>
    </w:p>
    <w:p w14:paraId="36DA9BBC" w14:textId="77777777" w:rsidR="00072457" w:rsidRDefault="000D1DF1" w:rsidP="00072457">
      <w:pPr>
        <w:pStyle w:val="Heading1"/>
        <w:keepNext w:val="0"/>
        <w:keepLines w:val="0"/>
        <w:numPr>
          <w:ilvl w:val="0"/>
          <w:numId w:val="1"/>
        </w:numPr>
      </w:pPr>
      <w:r>
        <w:rPr>
          <w:rFonts w:ascii="Cambria" w:eastAsia="Cambria" w:hAnsi="Cambria" w:cs="Cambria"/>
          <w:color w:val="000000"/>
          <w:bdr w:val="nil"/>
          <w:lang w:val="fr-FR"/>
        </w:rPr>
        <w:t>LIVRAISON, STOCKAGE ET MANUTENTION</w:t>
      </w:r>
    </w:p>
    <w:p w14:paraId="59E27322" w14:textId="4B852961" w:rsidR="003D7F5E" w:rsidRPr="000D1DF1" w:rsidRDefault="000D1DF1" w:rsidP="00434ACC">
      <w:pPr>
        <w:pStyle w:val="Heading2"/>
        <w:keepNext w:val="0"/>
        <w:keepLines w:val="0"/>
        <w:numPr>
          <w:ilvl w:val="1"/>
          <w:numId w:val="15"/>
        </w:numPr>
        <w:tabs>
          <w:tab w:val="left" w:pos="810"/>
        </w:tabs>
        <w:ind w:left="1080" w:hanging="360"/>
        <w:rPr>
          <w:lang w:val="fr-HT"/>
        </w:rPr>
      </w:pPr>
      <w:bookmarkStart w:id="4" w:name="_Hlk532399110"/>
      <w:r>
        <w:rPr>
          <w:rFonts w:ascii="Cambria" w:eastAsia="Cambria" w:hAnsi="Cambria" w:cs="Cambria"/>
          <w:color w:val="000000"/>
          <w:szCs w:val="24"/>
          <w:bdr w:val="nil"/>
          <w:lang w:val="fr-FR"/>
        </w:rPr>
        <w:t>L'équipement doit être livré sur le site dans l'emballage d'origine du fabricant. Le sous-traitant ne doit pas ouvrir les emballages sans l'approbation de l'ingénieur.</w:t>
      </w:r>
    </w:p>
    <w:bookmarkEnd w:id="4"/>
    <w:p w14:paraId="7B955522" w14:textId="415DF48A" w:rsidR="00072457" w:rsidRPr="000D1DF1" w:rsidRDefault="000D1DF1" w:rsidP="00434ACC">
      <w:pPr>
        <w:pStyle w:val="Heading2"/>
        <w:keepNext w:val="0"/>
        <w:keepLines w:val="0"/>
        <w:numPr>
          <w:ilvl w:val="1"/>
          <w:numId w:val="15"/>
        </w:numPr>
        <w:tabs>
          <w:tab w:val="left" w:pos="810"/>
        </w:tabs>
        <w:ind w:left="1080" w:hanging="360"/>
        <w:rPr>
          <w:lang w:val="fr-HT"/>
        </w:rPr>
      </w:pPr>
      <w:r>
        <w:rPr>
          <w:rFonts w:ascii="Cambria" w:eastAsia="Cambria" w:hAnsi="Cambria" w:cs="Cambria"/>
          <w:color w:val="000000"/>
          <w:szCs w:val="24"/>
          <w:bdr w:val="nil"/>
          <w:lang w:val="fr-FR"/>
        </w:rPr>
        <w:t>Rangez toutes les commandes, le câblage et les panneaux photovoltaïques hors sol dans un endroit sec. Les matériaux, équipements et composants du projet à utiliser doivent être stockés de manière à préserver leur qualité et leur état tels recommandés par l</w:t>
      </w:r>
      <w:r>
        <w:rPr>
          <w:rFonts w:ascii="Cambria" w:eastAsia="Cambria" w:hAnsi="Cambria" w:cs="Cambria"/>
          <w:color w:val="000000"/>
          <w:szCs w:val="24"/>
          <w:bdr w:val="nil"/>
          <w:lang w:val="fr-FR"/>
        </w:rPr>
        <w:t>es fabricants et les fournisseurs, conformément aux meilleures pratiques de l'industrie</w:t>
      </w:r>
    </w:p>
    <w:p w14:paraId="2208800E" w14:textId="77777777" w:rsidR="003D7F5E" w:rsidRDefault="000D1DF1" w:rsidP="003D7F5E">
      <w:pPr>
        <w:pStyle w:val="Heading1"/>
        <w:keepLines w:val="0"/>
        <w:numPr>
          <w:ilvl w:val="0"/>
          <w:numId w:val="1"/>
        </w:numPr>
      </w:pPr>
      <w:r>
        <w:rPr>
          <w:rFonts w:ascii="Cambria" w:eastAsia="Cambria" w:hAnsi="Cambria" w:cs="Cambria"/>
          <w:color w:val="000000"/>
          <w:bdr w:val="nil"/>
          <w:lang w:val="fr-FR"/>
        </w:rPr>
        <w:t>SOUMISSIONS DÉFINITIVES</w:t>
      </w:r>
    </w:p>
    <w:p w14:paraId="29F7ADCB" w14:textId="07C3944E" w:rsidR="003B0C9C" w:rsidRPr="000D1DF1" w:rsidRDefault="000D1DF1" w:rsidP="003B0C9C">
      <w:pPr>
        <w:pStyle w:val="Heading2"/>
        <w:keepLines w:val="0"/>
        <w:numPr>
          <w:ilvl w:val="0"/>
          <w:numId w:val="13"/>
        </w:numPr>
        <w:ind w:left="1080"/>
        <w:rPr>
          <w:lang w:val="fr-HT"/>
        </w:rPr>
      </w:pPr>
      <w:r>
        <w:rPr>
          <w:rFonts w:ascii="Cambria" w:eastAsia="Cambria" w:hAnsi="Cambria" w:cs="Cambria"/>
          <w:color w:val="000000"/>
          <w:szCs w:val="24"/>
          <w:bdr w:val="nil"/>
          <w:lang w:val="fr-FR"/>
        </w:rPr>
        <w:t>Soumettez les dessins « tel que construit » de l'installation, y compris le câblage et les conduits : 4 copies, reproductibles ainsi que des fichiers informatiques (Word, Excel, PDF) en format compatible AutoCAD pour les plans</w:t>
      </w:r>
    </w:p>
    <w:p w14:paraId="3C77380C" w14:textId="77777777" w:rsidR="00995E17" w:rsidRPr="000D1DF1" w:rsidRDefault="000D1DF1" w:rsidP="00434ACC">
      <w:pPr>
        <w:pStyle w:val="Heading2"/>
        <w:keepLines w:val="0"/>
        <w:numPr>
          <w:ilvl w:val="0"/>
          <w:numId w:val="13"/>
        </w:numPr>
        <w:ind w:left="1080"/>
        <w:rPr>
          <w:lang w:val="fr-HT"/>
        </w:rPr>
      </w:pPr>
      <w:r>
        <w:rPr>
          <w:rFonts w:ascii="Cambria" w:eastAsia="Cambria" w:hAnsi="Cambria" w:cs="Cambria"/>
          <w:color w:val="000000"/>
          <w:szCs w:val="24"/>
          <w:bdr w:val="nil"/>
          <w:lang w:val="fr-FR"/>
        </w:rPr>
        <w:t xml:space="preserve">Deux jeux de manuels d'utilisation et de maintenance </w:t>
      </w:r>
    </w:p>
    <w:p w14:paraId="3B254EF6" w14:textId="6F94D9DF" w:rsidR="003D7F5E" w:rsidRPr="000D1DF1" w:rsidRDefault="000D1DF1" w:rsidP="00434ACC">
      <w:pPr>
        <w:pStyle w:val="Heading2"/>
        <w:keepLines w:val="0"/>
        <w:numPr>
          <w:ilvl w:val="0"/>
          <w:numId w:val="13"/>
        </w:numPr>
        <w:ind w:left="1080"/>
        <w:rPr>
          <w:lang w:val="fr-HT"/>
        </w:rPr>
      </w:pPr>
      <w:r>
        <w:rPr>
          <w:rFonts w:ascii="Cambria" w:eastAsia="Cambria" w:hAnsi="Cambria" w:cs="Cambria"/>
          <w:color w:val="000000"/>
          <w:szCs w:val="24"/>
          <w:bdr w:val="nil"/>
          <w:lang w:val="fr-FR"/>
        </w:rPr>
        <w:t>Deux séries de certificats de type et de test des équipemen</w:t>
      </w:r>
      <w:r>
        <w:rPr>
          <w:rFonts w:ascii="Cambria" w:eastAsia="Cambria" w:hAnsi="Cambria" w:cs="Cambria"/>
          <w:color w:val="000000"/>
          <w:szCs w:val="24"/>
          <w:bdr w:val="nil"/>
          <w:lang w:val="fr-FR"/>
        </w:rPr>
        <w:t>ts opérationnels.</w:t>
      </w:r>
    </w:p>
    <w:p w14:paraId="2152FDD9" w14:textId="77777777" w:rsidR="003D7F5E" w:rsidRDefault="000D1DF1" w:rsidP="00434ACC">
      <w:pPr>
        <w:pStyle w:val="Heading2"/>
        <w:keepNext w:val="0"/>
        <w:keepLines w:val="0"/>
        <w:numPr>
          <w:ilvl w:val="0"/>
          <w:numId w:val="13"/>
        </w:numPr>
        <w:ind w:left="1080"/>
      </w:pPr>
      <w:r>
        <w:rPr>
          <w:rFonts w:ascii="Cambria" w:eastAsia="Cambria" w:hAnsi="Cambria" w:cs="Cambria"/>
          <w:color w:val="000000"/>
          <w:szCs w:val="24"/>
          <w:bdr w:val="nil"/>
          <w:lang w:val="fr-FR"/>
        </w:rPr>
        <w:t>Documentation de garantie.</w:t>
      </w:r>
    </w:p>
    <w:p w14:paraId="07E13671" w14:textId="77777777" w:rsidR="003D7F5E" w:rsidRPr="000D1DF1" w:rsidRDefault="000D1DF1" w:rsidP="00434ACC">
      <w:pPr>
        <w:pStyle w:val="Heading2"/>
        <w:keepNext w:val="0"/>
        <w:keepLines w:val="0"/>
        <w:numPr>
          <w:ilvl w:val="0"/>
          <w:numId w:val="13"/>
        </w:numPr>
        <w:ind w:left="1080"/>
        <w:rPr>
          <w:lang w:val="fr-HT"/>
        </w:rPr>
      </w:pPr>
      <w:r>
        <w:rPr>
          <w:rFonts w:ascii="Cambria" w:eastAsia="Cambria" w:hAnsi="Cambria" w:cs="Cambria"/>
          <w:color w:val="000000"/>
          <w:szCs w:val="24"/>
          <w:bdr w:val="nil"/>
          <w:lang w:val="fr-FR"/>
        </w:rPr>
        <w:t>Découpe du numéro UPC dans l'emballage de l'équipemen</w:t>
      </w:r>
      <w:r>
        <w:rPr>
          <w:rFonts w:ascii="Cambria" w:eastAsia="Cambria" w:hAnsi="Cambria" w:cs="Cambria"/>
          <w:color w:val="000000"/>
          <w:szCs w:val="24"/>
          <w:bdr w:val="nil"/>
          <w:lang w:val="fr-FR"/>
        </w:rPr>
        <w:t>t.</w:t>
      </w:r>
    </w:p>
    <w:p w14:paraId="65F240E6" w14:textId="77777777" w:rsidR="003D7F5E" w:rsidRPr="000D1DF1" w:rsidRDefault="000D1DF1" w:rsidP="00434ACC">
      <w:pPr>
        <w:pStyle w:val="Heading2"/>
        <w:keepNext w:val="0"/>
        <w:keepLines w:val="0"/>
        <w:numPr>
          <w:ilvl w:val="0"/>
          <w:numId w:val="13"/>
        </w:numPr>
        <w:ind w:left="1080"/>
        <w:rPr>
          <w:lang w:val="fr-HT"/>
        </w:rPr>
      </w:pPr>
      <w:r>
        <w:rPr>
          <w:rFonts w:ascii="Cambria" w:eastAsia="Cambria" w:hAnsi="Cambria" w:cs="Cambria"/>
          <w:color w:val="000000"/>
          <w:szCs w:val="24"/>
          <w:bdr w:val="nil"/>
          <w:lang w:val="fr-FR"/>
        </w:rPr>
        <w:t>Des copies de tous les certificats de matériaux du fabricant.</w:t>
      </w:r>
    </w:p>
    <w:p w14:paraId="520C3C81" w14:textId="77777777" w:rsidR="00072457" w:rsidRPr="000D1DF1" w:rsidRDefault="00072457" w:rsidP="00072457">
      <w:pPr>
        <w:rPr>
          <w:lang w:val="fr-HT"/>
        </w:rPr>
      </w:pPr>
    </w:p>
    <w:p w14:paraId="3A79FD07" w14:textId="77777777" w:rsidR="00072457" w:rsidRDefault="000D1DF1" w:rsidP="00072457">
      <w:pPr>
        <w:pStyle w:val="Heading1"/>
        <w:keepNext w:val="0"/>
        <w:keepLines w:val="0"/>
        <w:numPr>
          <w:ilvl w:val="0"/>
          <w:numId w:val="1"/>
        </w:numPr>
      </w:pPr>
      <w:r>
        <w:rPr>
          <w:rFonts w:ascii="Cambria" w:eastAsia="Cambria" w:hAnsi="Cambria" w:cs="Cambria"/>
          <w:color w:val="000000"/>
          <w:bdr w:val="nil"/>
          <w:lang w:val="fr-FR"/>
        </w:rPr>
        <w:t>CONDITIONS DU PROJET/DU SITE</w:t>
      </w:r>
    </w:p>
    <w:p w14:paraId="74ECB90D" w14:textId="77777777" w:rsidR="00072457" w:rsidRPr="000D1DF1" w:rsidRDefault="000D1DF1" w:rsidP="00434ACC">
      <w:pPr>
        <w:pStyle w:val="Heading2"/>
        <w:keepNext w:val="0"/>
        <w:keepLines w:val="0"/>
        <w:numPr>
          <w:ilvl w:val="1"/>
          <w:numId w:val="16"/>
        </w:numPr>
        <w:tabs>
          <w:tab w:val="clear" w:pos="1080"/>
        </w:tabs>
        <w:ind w:left="1080" w:hanging="360"/>
        <w:rPr>
          <w:lang w:val="fr-HT"/>
        </w:rPr>
      </w:pPr>
      <w:r>
        <w:rPr>
          <w:rFonts w:ascii="Cambria" w:eastAsia="Cambria" w:hAnsi="Cambria" w:cs="Cambria"/>
          <w:color w:val="000000"/>
          <w:szCs w:val="24"/>
          <w:bdr w:val="nil"/>
          <w:lang w:val="fr-FR"/>
        </w:rPr>
        <w:t xml:space="preserve">Les services publics souterrains existants, tels indiqués dans les plans, sont situés conformément aux données disponibles, mais les emplacements peuvent varier et ne peuvent être </w:t>
      </w:r>
      <w:r>
        <w:rPr>
          <w:rFonts w:ascii="Cambria" w:eastAsia="Cambria" w:hAnsi="Cambria" w:cs="Cambria"/>
          <w:color w:val="000000"/>
          <w:szCs w:val="24"/>
          <w:bdr w:val="nil"/>
          <w:lang w:val="fr-FR"/>
        </w:rPr>
        <w:t>garantis. Les emplacements exacts seront déterminés par le sous-traitant au fur et à mesure de l'avancement des travaux. Les travaux d'excavation doivent être effectués avec précaution afin d'éviter d'endommager les installations existantes</w:t>
      </w:r>
    </w:p>
    <w:p w14:paraId="38841AD0" w14:textId="77777777" w:rsidR="00072457" w:rsidRPr="00766833" w:rsidRDefault="000D1DF1" w:rsidP="00072457">
      <w:pPr>
        <w:pStyle w:val="Heading2"/>
        <w:keepNext w:val="0"/>
        <w:keepLines w:val="0"/>
        <w:ind w:left="1080" w:hanging="360"/>
      </w:pPr>
      <w:r>
        <w:rPr>
          <w:rFonts w:ascii="Cambria" w:eastAsia="Cambria" w:hAnsi="Cambria" w:cs="Cambria"/>
          <w:color w:val="000000"/>
          <w:szCs w:val="24"/>
          <w:bdr w:val="nil"/>
          <w:lang w:val="fr-FR"/>
        </w:rPr>
        <w:t>Le sous-traitant doit prévoir la protection, l'enlèvement et le remplacement temporaires, ou le déplacement des dits obstacles, comme requis pour l'exécution des travaux requis dans les docume</w:t>
      </w:r>
      <w:r>
        <w:rPr>
          <w:rFonts w:ascii="Cambria" w:eastAsia="Cambria" w:hAnsi="Cambria" w:cs="Cambria"/>
          <w:color w:val="000000"/>
          <w:szCs w:val="24"/>
          <w:bdr w:val="nil"/>
          <w:lang w:val="fr-FR"/>
        </w:rPr>
        <w:t>nts de sous-traitance. Aucun paiement supplémentaire ne sera effectué pour ce travail.</w:t>
      </w:r>
    </w:p>
    <w:p w14:paraId="663E9D72" w14:textId="77777777" w:rsidR="00995E17" w:rsidRDefault="000D1DF1" w:rsidP="00995E17">
      <w:pPr>
        <w:pStyle w:val="Heading1"/>
        <w:keepNext w:val="0"/>
        <w:keepLines w:val="0"/>
        <w:numPr>
          <w:ilvl w:val="0"/>
          <w:numId w:val="1"/>
        </w:numPr>
      </w:pPr>
      <w:r>
        <w:rPr>
          <w:rFonts w:ascii="Cambria" w:eastAsia="Cambria" w:hAnsi="Cambria" w:cs="Cambria"/>
          <w:color w:val="000000"/>
          <w:bdr w:val="nil"/>
          <w:lang w:val="fr-FR"/>
        </w:rPr>
        <w:t>GARANTIE</w:t>
      </w:r>
    </w:p>
    <w:p w14:paraId="0B2AFD47" w14:textId="0C9C5B66" w:rsidR="00995E17" w:rsidRPr="000D1DF1" w:rsidRDefault="000D1DF1" w:rsidP="00995E17">
      <w:pPr>
        <w:pStyle w:val="Heading2"/>
        <w:keepNext w:val="0"/>
        <w:keepLines w:val="0"/>
        <w:numPr>
          <w:ilvl w:val="1"/>
          <w:numId w:val="1"/>
        </w:numPr>
        <w:rPr>
          <w:lang w:val="fr-HT"/>
        </w:rPr>
      </w:pPr>
      <w:r>
        <w:rPr>
          <w:rFonts w:ascii="Cambria" w:eastAsia="Cambria" w:hAnsi="Cambria" w:cs="Cambria"/>
          <w:color w:val="000000"/>
          <w:szCs w:val="24"/>
          <w:bdr w:val="nil"/>
          <w:lang w:val="fr-FR"/>
        </w:rPr>
        <w:t>Le</w:t>
      </w:r>
      <w:r>
        <w:rPr>
          <w:rFonts w:ascii="Cambria" w:eastAsia="Cambria" w:hAnsi="Cambria" w:cs="Cambria"/>
          <w:color w:val="000000"/>
          <w:szCs w:val="24"/>
          <w:bdr w:val="nil"/>
          <w:lang w:val="fr-FR"/>
        </w:rPr>
        <w:t xml:space="preserve"> système </w:t>
      </w:r>
      <w:proofErr w:type="spellStart"/>
      <w:r>
        <w:rPr>
          <w:rFonts w:ascii="Cambria" w:eastAsia="Cambria" w:hAnsi="Cambria" w:cs="Cambria"/>
          <w:color w:val="000000"/>
          <w:szCs w:val="24"/>
          <w:bdr w:val="nil"/>
          <w:lang w:val="fr-FR"/>
        </w:rPr>
        <w:t>système</w:t>
      </w:r>
      <w:proofErr w:type="spellEnd"/>
      <w:r>
        <w:rPr>
          <w:rFonts w:ascii="Cambria" w:eastAsia="Cambria" w:hAnsi="Cambria" w:cs="Cambria"/>
          <w:color w:val="000000"/>
          <w:szCs w:val="24"/>
          <w:bdr w:val="nil"/>
          <w:lang w:val="fr-FR"/>
        </w:rPr>
        <w:t xml:space="preserve"> d'alimentation en énergie photovoltaïque au complet, y compris les commandes, doit être garanti par le sous-traitant pour une période </w:t>
      </w:r>
      <w:r>
        <w:rPr>
          <w:rFonts w:ascii="Cambria" w:eastAsia="Cambria" w:hAnsi="Cambria" w:cs="Cambria"/>
          <w:color w:val="000000"/>
          <w:szCs w:val="24"/>
          <w:bdr w:val="nil"/>
          <w:lang w:val="fr-FR"/>
        </w:rPr>
        <w:lastRenderedPageBreak/>
        <w:t>(la période de défauts et de responsabilité) d'un (1) an après la délivrance du Certificat d'achèvement f</w:t>
      </w:r>
      <w:r>
        <w:rPr>
          <w:rFonts w:ascii="Cambria" w:eastAsia="Cambria" w:hAnsi="Cambria" w:cs="Cambria"/>
          <w:color w:val="000000"/>
          <w:szCs w:val="24"/>
          <w:bdr w:val="nil"/>
          <w:lang w:val="fr-FR"/>
        </w:rPr>
        <w:t>inal et d'acceptation.</w:t>
      </w:r>
    </w:p>
    <w:p w14:paraId="4FC27C17" w14:textId="6668D798" w:rsidR="00072457" w:rsidRPr="000D1DF1" w:rsidRDefault="000D1DF1" w:rsidP="00995E17">
      <w:pPr>
        <w:pStyle w:val="Heading2"/>
        <w:keepNext w:val="0"/>
        <w:keepLines w:val="0"/>
        <w:numPr>
          <w:ilvl w:val="1"/>
          <w:numId w:val="1"/>
        </w:numPr>
        <w:rPr>
          <w:lang w:val="fr-HT"/>
        </w:rPr>
      </w:pPr>
      <w:r>
        <w:rPr>
          <w:rFonts w:ascii="Cambria" w:eastAsia="Cambria" w:hAnsi="Cambria" w:cs="Cambria"/>
          <w:color w:val="000000"/>
          <w:szCs w:val="24"/>
          <w:bdr w:val="nil"/>
          <w:lang w:val="fr-FR"/>
        </w:rPr>
        <w:t>Les modules photovoltaïques doivent avoir une garantie du produit par le fabricant contre les défauts de fabrication et de matériaux pendant une période d</w:t>
      </w:r>
      <w:r>
        <w:rPr>
          <w:rFonts w:ascii="Cambria" w:eastAsia="Cambria" w:hAnsi="Cambria" w:cs="Cambria"/>
          <w:color w:val="000000"/>
          <w:szCs w:val="24"/>
          <w:bdr w:val="nil"/>
          <w:lang w:val="fr-FR"/>
        </w:rPr>
        <w:t xml:space="preserve">e dix ans en utilisation, fonctionnement et service normaux, avec une dégradation annuelle de la production électrique ne dépassant pas 0,8 % </w:t>
      </w:r>
    </w:p>
    <w:p w14:paraId="26F09F88" w14:textId="77777777" w:rsidR="000F33BE" w:rsidRPr="000D1DF1" w:rsidRDefault="000F33BE" w:rsidP="000F33BE">
      <w:pPr>
        <w:rPr>
          <w:lang w:val="fr-HT"/>
        </w:rPr>
      </w:pPr>
    </w:p>
    <w:p w14:paraId="731F57BE" w14:textId="77777777" w:rsidR="00072457" w:rsidRDefault="000D1DF1" w:rsidP="00072457">
      <w:pPr>
        <w:rPr>
          <w:rFonts w:ascii="Times New Roman" w:hAnsi="Times New Roman" w:cs="Times New Roman"/>
          <w:b/>
        </w:rPr>
      </w:pPr>
      <w:r>
        <w:rPr>
          <w:rFonts w:ascii="Times New Roman" w:eastAsia="Times New Roman" w:hAnsi="Times New Roman" w:cs="Times New Roman"/>
          <w:b/>
          <w:bCs/>
          <w:bdr w:val="nil"/>
          <w:lang w:val="fr-FR"/>
        </w:rPr>
        <w:t>PARTIE 2 - PRODUITS</w:t>
      </w:r>
    </w:p>
    <w:p w14:paraId="7D1313E2" w14:textId="77777777" w:rsidR="000F33BE" w:rsidRPr="000F33BE" w:rsidRDefault="000D1DF1" w:rsidP="00434ACC">
      <w:pPr>
        <w:pStyle w:val="ListParagraph"/>
        <w:numPr>
          <w:ilvl w:val="0"/>
          <w:numId w:val="3"/>
        </w:numPr>
        <w:rPr>
          <w:rFonts w:asciiTheme="majorHAnsi" w:eastAsiaTheme="majorEastAsia" w:hAnsiTheme="majorHAnsi" w:cstheme="majorBidi"/>
          <w:color w:val="000000" w:themeColor="text1"/>
          <w:sz w:val="24"/>
          <w:szCs w:val="24"/>
        </w:rPr>
      </w:pPr>
      <w:r>
        <w:rPr>
          <w:rFonts w:ascii="Calibri" w:eastAsia="Calibri" w:hAnsi="Calibri" w:cs="Calibri"/>
          <w:bdr w:val="nil"/>
          <w:lang w:val="fr-FR"/>
        </w:rPr>
        <w:t xml:space="preserve"> </w:t>
      </w:r>
      <w:r>
        <w:rPr>
          <w:rFonts w:ascii="Cambria" w:eastAsia="Cambria" w:hAnsi="Cambria" w:cs="Cambria"/>
          <w:color w:val="000000"/>
          <w:sz w:val="24"/>
          <w:szCs w:val="24"/>
          <w:bdr w:val="nil"/>
          <w:lang w:val="fr-FR"/>
        </w:rPr>
        <w:t>ÉQUIPEMENT</w:t>
      </w:r>
      <w:r>
        <w:rPr>
          <w:rFonts w:ascii="Calibri" w:eastAsia="Calibri" w:hAnsi="Calibri" w:cs="Calibri"/>
          <w:bdr w:val="nil"/>
          <w:lang w:val="fr-FR"/>
        </w:rPr>
        <w:t xml:space="preserve"> : </w:t>
      </w:r>
    </w:p>
    <w:p w14:paraId="5FEECBD2" w14:textId="20A4BA39" w:rsidR="000F33BE" w:rsidRPr="000D1DF1" w:rsidRDefault="000D1DF1" w:rsidP="00434ACC">
      <w:pPr>
        <w:keepNext/>
        <w:keepLines/>
        <w:numPr>
          <w:ilvl w:val="1"/>
          <w:numId w:val="17"/>
        </w:numPr>
        <w:tabs>
          <w:tab w:val="left" w:pos="1080"/>
        </w:tabs>
        <w:spacing w:before="40" w:after="0"/>
        <w:outlineLvl w:val="1"/>
        <w:rPr>
          <w:rFonts w:asciiTheme="majorHAnsi" w:hAnsiTheme="majorHAnsi"/>
          <w:sz w:val="24"/>
          <w:szCs w:val="24"/>
          <w:lang w:val="fr-HT"/>
        </w:rPr>
      </w:pPr>
      <w:r>
        <w:rPr>
          <w:rFonts w:ascii="Cambria" w:eastAsia="Cambria" w:hAnsi="Cambria" w:cs="Cambria"/>
          <w:sz w:val="24"/>
          <w:szCs w:val="24"/>
          <w:bdr w:val="nil"/>
          <w:lang w:val="fr-FR"/>
        </w:rPr>
        <w:t>Exigences relatives aux panneaux et réseaux photovoltaïques :</w:t>
      </w:r>
    </w:p>
    <w:p w14:paraId="79B0BA34" w14:textId="77E74251" w:rsidR="000F33BE"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La conception de la chaîne doit prendre</w:t>
      </w:r>
      <w:r>
        <w:rPr>
          <w:rFonts w:ascii="Cambria" w:eastAsia="Cambria" w:hAnsi="Cambria" w:cs="Cambria"/>
          <w:color w:val="000000"/>
          <w:sz w:val="24"/>
          <w:szCs w:val="24"/>
          <w:bdr w:val="nil"/>
          <w:lang w:val="fr-FR"/>
        </w:rPr>
        <w:t xml:space="preserve"> en compte les conditions climatiques locales pour les tensions minimale et maximale dans les limites de suivi du point de puissance maximale du système de pompage PV. </w:t>
      </w:r>
    </w:p>
    <w:p w14:paraId="0BE4627E" w14:textId="7DE80C2B" w:rsidR="000F33BE"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Les deux</w:t>
      </w:r>
      <w:r>
        <w:rPr>
          <w:rFonts w:ascii="Cambria" w:eastAsia="Cambria" w:hAnsi="Cambria" w:cs="Cambria"/>
          <w:color w:val="000000"/>
          <w:sz w:val="24"/>
          <w:szCs w:val="24"/>
          <w:bdr w:val="nil"/>
          <w:lang w:val="fr-FR"/>
        </w:rPr>
        <w:t xml:space="preserve"> pompes, spécifiées séparément dans la section 33 11 36, doivent être connectées séparément au sous-réseau PV désigné. Le câblage CC ne doit pas être mélangé sur un bus CC commun.</w:t>
      </w:r>
    </w:p>
    <w:p w14:paraId="53A32A27" w14:textId="137DE2C2" w:rsidR="000F33BE"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 xml:space="preserve">Le périmètre du site PV doit être à au moins 3 mètres de toute distance par rapport aux routes, bâtiments, arbres ou clôtures. Tout objet d'ombrage situé à moins de cinq mètres du générateur photovoltaïque doit être supprimé. </w:t>
      </w:r>
    </w:p>
    <w:p w14:paraId="6D97AB7A" w14:textId="77777777"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comporter au moins 320 modules de 72 cellules en silicium monocristallin ou polycristallin</w:t>
      </w:r>
    </w:p>
    <w:p w14:paraId="6E9A5F81" w14:textId="2AF2EB50"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être conforme aux norme</w:t>
      </w:r>
      <w:r>
        <w:rPr>
          <w:rFonts w:ascii="Cambria" w:eastAsia="Cambria" w:hAnsi="Cambria" w:cs="Cambria"/>
          <w:color w:val="000000"/>
          <w:sz w:val="24"/>
          <w:szCs w:val="24"/>
          <w:bdr w:val="nil"/>
          <w:lang w:val="fr-FR"/>
        </w:rPr>
        <w:t>s IEC 61215, UL 1703, UL 2703 et autres codes et normes applicables</w:t>
      </w:r>
    </w:p>
    <w:p w14:paraId="334EBF31" w14:textId="77777777"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avoir des cadres en aluminium standard avec des trous de montage et de mise à la terre clairs</w:t>
      </w:r>
    </w:p>
    <w:p w14:paraId="5AA14B64" w14:textId="77777777"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avoir une boîte de jonction comprenant 2x connecteurs MC4 suffisante pour le chaînage sauté</w:t>
      </w:r>
    </w:p>
    <w:p w14:paraId="78D622A7" w14:textId="77777777"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être a</w:t>
      </w:r>
      <w:r>
        <w:rPr>
          <w:rFonts w:ascii="Cambria" w:eastAsia="Cambria" w:hAnsi="Cambria" w:cs="Cambria"/>
          <w:color w:val="000000"/>
          <w:sz w:val="24"/>
          <w:szCs w:val="24"/>
          <w:bdr w:val="nil"/>
          <w:lang w:val="fr-FR"/>
        </w:rPr>
        <w:t>cheté auprès d'un fabricant réputé, inclus dans la liste des fabricants de modules Bloomberg « </w:t>
      </w:r>
      <w:proofErr w:type="spellStart"/>
      <w:r>
        <w:rPr>
          <w:rFonts w:ascii="Cambria" w:eastAsia="Cambria" w:hAnsi="Cambria" w:cs="Cambria"/>
          <w:color w:val="000000"/>
          <w:sz w:val="24"/>
          <w:szCs w:val="24"/>
          <w:bdr w:val="nil"/>
          <w:lang w:val="fr-FR"/>
        </w:rPr>
        <w:t>Tier</w:t>
      </w:r>
      <w:proofErr w:type="spellEnd"/>
      <w:r>
        <w:rPr>
          <w:rFonts w:ascii="Cambria" w:eastAsia="Cambria" w:hAnsi="Cambria" w:cs="Cambria"/>
          <w:color w:val="000000"/>
          <w:sz w:val="24"/>
          <w:szCs w:val="24"/>
          <w:bdr w:val="nil"/>
          <w:lang w:val="fr-FR"/>
        </w:rPr>
        <w:t xml:space="preserve"> 1 »</w:t>
      </w:r>
    </w:p>
    <w:p w14:paraId="49FC4D04" w14:textId="77777777"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être évalué pour la performance dans l’air de mer humide et salé pou</w:t>
      </w:r>
      <w:r>
        <w:rPr>
          <w:rFonts w:ascii="Cambria" w:eastAsia="Cambria" w:hAnsi="Cambria" w:cs="Cambria"/>
          <w:color w:val="000000"/>
          <w:sz w:val="24"/>
          <w:szCs w:val="24"/>
          <w:bdr w:val="nil"/>
          <w:lang w:val="fr-FR"/>
        </w:rPr>
        <w:t xml:space="preserve">r </w:t>
      </w:r>
      <w:bookmarkStart w:id="5" w:name="_Hlk550340"/>
      <w:r>
        <w:rPr>
          <w:rFonts w:ascii="Cambria" w:eastAsia="Cambria" w:hAnsi="Cambria" w:cs="Cambria"/>
          <w:color w:val="000000"/>
          <w:sz w:val="24"/>
          <w:szCs w:val="24"/>
          <w:bdr w:val="nil"/>
          <w:lang w:val="fr-FR"/>
        </w:rPr>
        <w:t>25 ans</w:t>
      </w:r>
      <w:bookmarkEnd w:id="5"/>
      <w:r>
        <w:rPr>
          <w:rFonts w:ascii="Cambria" w:eastAsia="Cambria" w:hAnsi="Cambria" w:cs="Cambria"/>
          <w:color w:val="000000"/>
          <w:sz w:val="24"/>
          <w:szCs w:val="24"/>
          <w:bdr w:val="nil"/>
          <w:lang w:val="fr-FR"/>
        </w:rPr>
        <w:t xml:space="preserve"> sans corrosion, pénétration d'humidité ou délamination.</w:t>
      </w:r>
    </w:p>
    <w:p w14:paraId="5F70DC47" w14:textId="6F235F1A" w:rsidR="00DD55B5" w:rsidRPr="000D1DF1" w:rsidRDefault="000D1DF1" w:rsidP="00434ACC">
      <w:pPr>
        <w:pStyle w:val="ListParagraph"/>
        <w:numPr>
          <w:ilvl w:val="2"/>
          <w:numId w:val="18"/>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Doit être évalué pour une tension de chaîne minimum de 1 000 VDC.</w:t>
      </w:r>
    </w:p>
    <w:p w14:paraId="6DD083E0" w14:textId="0BDCB9A5" w:rsidR="00072457" w:rsidRPr="008608D0" w:rsidRDefault="000D1DF1" w:rsidP="00434ACC">
      <w:pPr>
        <w:keepNext/>
        <w:keepLines/>
        <w:numPr>
          <w:ilvl w:val="1"/>
          <w:numId w:val="17"/>
        </w:numPr>
        <w:tabs>
          <w:tab w:val="left" w:pos="1080"/>
        </w:tabs>
        <w:spacing w:before="40" w:after="0"/>
        <w:outlineLvl w:val="1"/>
        <w:rPr>
          <w:rFonts w:asciiTheme="majorHAnsi" w:hAnsiTheme="majorHAnsi"/>
          <w:sz w:val="24"/>
          <w:szCs w:val="24"/>
        </w:rPr>
      </w:pPr>
      <w:r>
        <w:rPr>
          <w:rFonts w:ascii="Cambria" w:eastAsia="Cambria" w:hAnsi="Cambria" w:cs="Cambria"/>
          <w:sz w:val="24"/>
          <w:szCs w:val="24"/>
          <w:bdr w:val="nil"/>
          <w:lang w:val="fr-FR"/>
        </w:rPr>
        <w:t>Câblage et cordage</w:t>
      </w:r>
    </w:p>
    <w:p w14:paraId="7A44943F" w14:textId="77777777" w:rsidR="0043704D" w:rsidRPr="000D1DF1" w:rsidRDefault="000D1DF1" w:rsidP="00434ACC">
      <w:pPr>
        <w:pStyle w:val="ListParagraph"/>
        <w:numPr>
          <w:ilvl w:val="2"/>
          <w:numId w:val="19"/>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Tous les boulons de montage doivent être conformes aux spécifications du fabri</w:t>
      </w:r>
      <w:r>
        <w:rPr>
          <w:rFonts w:ascii="Cambria" w:eastAsia="Cambria" w:hAnsi="Cambria" w:cs="Cambria"/>
          <w:color w:val="000000"/>
          <w:sz w:val="24"/>
          <w:szCs w:val="24"/>
          <w:bdr w:val="nil"/>
          <w:lang w:val="fr-FR"/>
        </w:rPr>
        <w:t>cant PV</w:t>
      </w:r>
    </w:p>
    <w:p w14:paraId="33F83FBB" w14:textId="74778467" w:rsidR="0043704D" w:rsidRPr="000D1DF1" w:rsidRDefault="000D1DF1" w:rsidP="00434ACC">
      <w:pPr>
        <w:pStyle w:val="ListParagraph"/>
        <w:numPr>
          <w:ilvl w:val="2"/>
          <w:numId w:val="19"/>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lastRenderedPageBreak/>
        <w:t xml:space="preserve">Aucun trou supplémentaire ne doit être ajouté aux cadres de panneau PV autre que les trous de montage et de mise à la terre du fabricant (sinon, la garantie sera </w:t>
      </w:r>
      <w:r>
        <w:rPr>
          <w:rFonts w:ascii="Cambria" w:eastAsia="Cambria" w:hAnsi="Cambria" w:cs="Cambria"/>
          <w:color w:val="000000"/>
          <w:sz w:val="24"/>
          <w:szCs w:val="24"/>
          <w:bdr w:val="nil"/>
          <w:lang w:val="fr-FR"/>
        </w:rPr>
        <w:t>annulée)</w:t>
      </w:r>
    </w:p>
    <w:p w14:paraId="55B1B2BD" w14:textId="77777777" w:rsidR="0043704D" w:rsidRPr="000D1DF1" w:rsidRDefault="000D1DF1" w:rsidP="00434ACC">
      <w:pPr>
        <w:pStyle w:val="ListParagraph"/>
        <w:numPr>
          <w:ilvl w:val="2"/>
          <w:numId w:val="19"/>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 xml:space="preserve">Colliers de serrage résistants aux UV - inclure HEYCO </w:t>
      </w:r>
      <w:proofErr w:type="spellStart"/>
      <w:r>
        <w:rPr>
          <w:rFonts w:ascii="Cambria" w:eastAsia="Cambria" w:hAnsi="Cambria" w:cs="Cambria"/>
          <w:color w:val="000000"/>
          <w:sz w:val="24"/>
          <w:szCs w:val="24"/>
          <w:bdr w:val="nil"/>
          <w:lang w:val="fr-FR"/>
        </w:rPr>
        <w:t>Sunbundler</w:t>
      </w:r>
      <w:proofErr w:type="spellEnd"/>
      <w:r>
        <w:rPr>
          <w:rFonts w:ascii="Cambria" w:eastAsia="Cambria" w:hAnsi="Cambria" w:cs="Cambria"/>
          <w:color w:val="000000"/>
          <w:sz w:val="24"/>
          <w:szCs w:val="24"/>
          <w:bdr w:val="nil"/>
          <w:lang w:val="fr-FR"/>
        </w:rPr>
        <w:t xml:space="preserve"> ou équivalent</w:t>
      </w:r>
    </w:p>
    <w:p w14:paraId="3E027F2A" w14:textId="50D5860F" w:rsidR="007B5BA5" w:rsidRPr="000D1DF1" w:rsidRDefault="000D1DF1" w:rsidP="007B5BA5">
      <w:pPr>
        <w:pStyle w:val="ListParagraph"/>
        <w:numPr>
          <w:ilvl w:val="2"/>
          <w:numId w:val="19"/>
        </w:numPr>
        <w:spacing w:before="40" w:after="0"/>
        <w:outlineLvl w:val="2"/>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Clips en S</w:t>
      </w:r>
      <w:r>
        <w:rPr>
          <w:rFonts w:ascii="Cambria" w:eastAsia="Cambria" w:hAnsi="Cambria" w:cs="Cambria"/>
          <w:color w:val="000000"/>
          <w:sz w:val="24"/>
          <w:szCs w:val="24"/>
          <w:bdr w:val="nil"/>
          <w:lang w:val="fr-FR"/>
        </w:rPr>
        <w:t xml:space="preserve"> pour la gestion des fils - inclure HEYCO </w:t>
      </w:r>
      <w:proofErr w:type="spellStart"/>
      <w:r>
        <w:rPr>
          <w:rFonts w:ascii="Cambria" w:eastAsia="Cambria" w:hAnsi="Cambria" w:cs="Cambria"/>
          <w:color w:val="000000"/>
          <w:sz w:val="24"/>
          <w:szCs w:val="24"/>
          <w:bdr w:val="nil"/>
          <w:lang w:val="fr-FR"/>
        </w:rPr>
        <w:t>Sunrunner</w:t>
      </w:r>
      <w:proofErr w:type="spellEnd"/>
      <w:r>
        <w:rPr>
          <w:rFonts w:ascii="Cambria" w:eastAsia="Cambria" w:hAnsi="Cambria" w:cs="Cambria"/>
          <w:color w:val="000000"/>
          <w:sz w:val="24"/>
          <w:szCs w:val="24"/>
          <w:bdr w:val="nil"/>
          <w:lang w:val="fr-FR"/>
        </w:rPr>
        <w:t xml:space="preserve"> ou équivalent</w:t>
      </w:r>
    </w:p>
    <w:p w14:paraId="2A84C7AA" w14:textId="77777777" w:rsidR="008608D0" w:rsidRPr="000D1DF1" w:rsidRDefault="008608D0" w:rsidP="008608D0">
      <w:pPr>
        <w:pStyle w:val="ListParagraph"/>
        <w:spacing w:before="40" w:after="0"/>
        <w:ind w:left="1800"/>
        <w:outlineLvl w:val="2"/>
        <w:rPr>
          <w:rFonts w:asciiTheme="majorHAnsi" w:eastAsiaTheme="majorEastAsia" w:hAnsiTheme="majorHAnsi" w:cstheme="majorBidi"/>
          <w:color w:val="000000" w:themeColor="text1"/>
          <w:sz w:val="24"/>
          <w:szCs w:val="24"/>
          <w:lang w:val="fr-HT"/>
        </w:rPr>
      </w:pPr>
    </w:p>
    <w:p w14:paraId="54ED7726" w14:textId="75B18846" w:rsidR="008608D0" w:rsidRDefault="000D1DF1" w:rsidP="008608D0">
      <w:pPr>
        <w:pStyle w:val="ListParagraph"/>
        <w:numPr>
          <w:ilvl w:val="0"/>
          <w:numId w:val="3"/>
        </w:numPr>
        <w:rPr>
          <w:rFonts w:asciiTheme="majorHAnsi" w:hAnsiTheme="majorHAnsi"/>
          <w:sz w:val="24"/>
          <w:szCs w:val="24"/>
        </w:rPr>
      </w:pPr>
      <w:r>
        <w:rPr>
          <w:rFonts w:ascii="Cambria" w:eastAsia="Cambria" w:hAnsi="Cambria" w:cs="Cambria"/>
          <w:color w:val="000000"/>
          <w:sz w:val="24"/>
          <w:szCs w:val="24"/>
          <w:bdr w:val="nil"/>
          <w:lang w:val="fr-FR"/>
        </w:rPr>
        <w:t>FABRICANTS</w:t>
      </w:r>
    </w:p>
    <w:p w14:paraId="3FB4329D" w14:textId="60EA48D4" w:rsidR="008608D0" w:rsidRPr="000D1DF1" w:rsidRDefault="000D1DF1" w:rsidP="008608D0">
      <w:pPr>
        <w:pStyle w:val="ListParagraph"/>
        <w:numPr>
          <w:ilvl w:val="2"/>
          <w:numId w:val="32"/>
        </w:numPr>
        <w:spacing w:before="40" w:after="0"/>
        <w:outlineLvl w:val="2"/>
        <w:rPr>
          <w:rFonts w:asciiTheme="majorHAnsi" w:hAnsiTheme="majorHAnsi"/>
          <w:sz w:val="24"/>
          <w:szCs w:val="24"/>
          <w:lang w:val="fr-HT"/>
        </w:rPr>
      </w:pPr>
      <w:r>
        <w:rPr>
          <w:rFonts w:ascii="Cambria" w:eastAsia="Cambria" w:hAnsi="Cambria" w:cs="Cambria"/>
          <w:sz w:val="24"/>
          <w:szCs w:val="24"/>
          <w:bdr w:val="nil"/>
          <w:lang w:val="fr-FR"/>
        </w:rPr>
        <w:t>Module Photovoltaïqu</w:t>
      </w:r>
      <w:r>
        <w:rPr>
          <w:rFonts w:ascii="Cambria" w:eastAsia="Cambria" w:hAnsi="Cambria" w:cs="Cambria"/>
          <w:sz w:val="24"/>
          <w:szCs w:val="24"/>
          <w:bdr w:val="nil"/>
          <w:lang w:val="fr-FR"/>
        </w:rPr>
        <w:t>e Trina TSM-</w:t>
      </w:r>
      <w:r>
        <w:rPr>
          <w:rFonts w:ascii="Cambria" w:eastAsia="Cambria" w:hAnsi="Cambria" w:cs="Cambria"/>
          <w:color w:val="000000"/>
          <w:sz w:val="24"/>
          <w:szCs w:val="24"/>
          <w:bdr w:val="nil"/>
          <w:lang w:val="fr-FR"/>
        </w:rPr>
        <w:t>320</w:t>
      </w:r>
      <w:r>
        <w:rPr>
          <w:rFonts w:ascii="Cambria" w:eastAsia="Cambria" w:hAnsi="Cambria" w:cs="Cambria"/>
          <w:sz w:val="24"/>
          <w:szCs w:val="24"/>
          <w:bdr w:val="nil"/>
          <w:lang w:val="fr-FR"/>
        </w:rPr>
        <w:t xml:space="preserve"> PD14 (ou équivalent tel décrit dans la section</w:t>
      </w:r>
      <w:r>
        <w:rPr>
          <w:rFonts w:ascii="Calibri" w:eastAsia="Calibri" w:hAnsi="Calibri" w:cs="Calibri"/>
          <w:bdr w:val="nil"/>
          <w:lang w:val="fr-FR"/>
        </w:rPr>
        <w:t xml:space="preserve"> </w:t>
      </w:r>
      <w:r>
        <w:rPr>
          <w:rFonts w:ascii="Cambria" w:eastAsia="Cambria" w:hAnsi="Cambria" w:cs="Cambria"/>
          <w:sz w:val="24"/>
          <w:szCs w:val="24"/>
          <w:bdr w:val="nil"/>
          <w:lang w:val="fr-FR"/>
        </w:rPr>
        <w:t xml:space="preserve">01 25 13 Procédures de substitution de produits </w:t>
      </w:r>
    </w:p>
    <w:p w14:paraId="46F3D646" w14:textId="77777777" w:rsidR="00072457" w:rsidRPr="003D0891" w:rsidRDefault="000D1DF1" w:rsidP="00434ACC">
      <w:pPr>
        <w:pStyle w:val="Heading1"/>
        <w:keepNext w:val="0"/>
        <w:keepLines w:val="0"/>
        <w:numPr>
          <w:ilvl w:val="0"/>
          <w:numId w:val="7"/>
        </w:numPr>
        <w:rPr>
          <w:rFonts w:ascii="Times New Roman" w:hAnsi="Times New Roman" w:cs="Times New Roman"/>
        </w:rPr>
      </w:pPr>
      <w:bookmarkStart w:id="6" w:name="_Hlk448150"/>
      <w:r>
        <w:rPr>
          <w:rFonts w:ascii="Cambria" w:eastAsia="Cambria" w:hAnsi="Cambria" w:cs="Cambria"/>
          <w:color w:val="000000"/>
          <w:bdr w:val="nil"/>
          <w:lang w:val="fr-FR"/>
        </w:rPr>
        <w:t>EXAME</w:t>
      </w:r>
      <w:r>
        <w:rPr>
          <w:rFonts w:ascii="Cambria" w:eastAsia="Cambria" w:hAnsi="Cambria" w:cs="Cambria"/>
          <w:color w:val="000000"/>
          <w:bdr w:val="nil"/>
          <w:lang w:val="fr-FR"/>
        </w:rPr>
        <w:t>N</w:t>
      </w:r>
    </w:p>
    <w:p w14:paraId="13701A5E" w14:textId="77777777" w:rsidR="00072457" w:rsidRPr="000D1DF1" w:rsidRDefault="000D1DF1" w:rsidP="00434ACC">
      <w:pPr>
        <w:pStyle w:val="Heading2"/>
        <w:keepNext w:val="0"/>
        <w:keepLines w:val="0"/>
        <w:numPr>
          <w:ilvl w:val="1"/>
          <w:numId w:val="20"/>
        </w:numPr>
        <w:ind w:left="1080" w:hanging="360"/>
        <w:rPr>
          <w:rFonts w:ascii="Times New Roman" w:hAnsi="Times New Roman" w:cs="Times New Roman"/>
          <w:lang w:val="fr-HT"/>
        </w:rPr>
      </w:pPr>
      <w:r>
        <w:rPr>
          <w:rFonts w:ascii="Cambria" w:eastAsia="Cambria" w:hAnsi="Cambria" w:cs="Cambria"/>
          <w:color w:val="000000"/>
          <w:szCs w:val="24"/>
          <w:bdr w:val="nil"/>
          <w:lang w:val="fr-FR"/>
        </w:rPr>
        <w:t>Examiner</w:t>
      </w:r>
      <w:r>
        <w:rPr>
          <w:rFonts w:ascii="Times New Roman" w:eastAsia="Times New Roman" w:hAnsi="Times New Roman" w:cs="Times New Roman"/>
          <w:color w:val="000000"/>
          <w:szCs w:val="24"/>
          <w:bdr w:val="nil"/>
          <w:lang w:val="fr-FR"/>
        </w:rPr>
        <w:t xml:space="preserve"> les zones et les conditions dans lesquelles le travail de cette section sera effectué. </w:t>
      </w:r>
      <w:r>
        <w:rPr>
          <w:rFonts w:ascii="Times New Roman" w:eastAsia="Times New Roman" w:hAnsi="Times New Roman" w:cs="Times New Roman"/>
          <w:color w:val="000000"/>
          <w:szCs w:val="24"/>
          <w:bdr w:val="nil"/>
          <w:lang w:val="fr-FR"/>
        </w:rPr>
        <w:t>Corriger les conditions préjudiciables à l'achèvement correct et opportun des travaux. Ne pas poursuivre tant que des conditions insatisfaisantes n'ont pas été corrigées.</w:t>
      </w:r>
    </w:p>
    <w:p w14:paraId="4EB040F2" w14:textId="678F725C" w:rsidR="00072457" w:rsidRPr="00C1375F" w:rsidRDefault="000D1DF1" w:rsidP="00434ACC">
      <w:pPr>
        <w:pStyle w:val="Heading1"/>
        <w:keepNext w:val="0"/>
        <w:keepLines w:val="0"/>
        <w:numPr>
          <w:ilvl w:val="0"/>
          <w:numId w:val="7"/>
        </w:numPr>
        <w:rPr>
          <w:lang w:val="fr-FR"/>
        </w:rPr>
      </w:pPr>
      <w:bookmarkStart w:id="7" w:name="_Hlk448255"/>
      <w:bookmarkEnd w:id="6"/>
      <w:r>
        <w:rPr>
          <w:rFonts w:ascii="Cambria" w:eastAsia="Cambria" w:hAnsi="Cambria" w:cs="Cambria"/>
          <w:color w:val="000000"/>
          <w:bdr w:val="nil"/>
          <w:lang w:val="fr-FR"/>
        </w:rPr>
        <w:t>INSTAL</w:t>
      </w:r>
      <w:r>
        <w:rPr>
          <w:rFonts w:ascii="Cambria" w:eastAsia="Cambria" w:hAnsi="Cambria" w:cs="Cambria"/>
          <w:color w:val="000000"/>
          <w:bdr w:val="nil"/>
          <w:lang w:val="fr-FR"/>
        </w:rPr>
        <w:t>LATION - COLLECTEURS PHOTOVOLTAÏQUES</w:t>
      </w:r>
    </w:p>
    <w:p w14:paraId="0FD67B42" w14:textId="2F37C641" w:rsidR="002126F0" w:rsidRPr="000D1DF1" w:rsidRDefault="000D1DF1" w:rsidP="00434ACC">
      <w:pPr>
        <w:pStyle w:val="Heading2"/>
        <w:keepNext w:val="0"/>
        <w:keepLines w:val="0"/>
        <w:numPr>
          <w:ilvl w:val="1"/>
          <w:numId w:val="21"/>
        </w:numPr>
        <w:ind w:left="1080" w:hanging="360"/>
        <w:rPr>
          <w:lang w:val="fr-HT"/>
        </w:rPr>
      </w:pPr>
      <w:r>
        <w:rPr>
          <w:rFonts w:ascii="Cambria" w:eastAsia="Cambria" w:hAnsi="Cambria" w:cs="Cambria"/>
          <w:color w:val="000000"/>
          <w:szCs w:val="24"/>
          <w:bdr w:val="nil"/>
          <w:lang w:val="fr-FR"/>
        </w:rPr>
        <w:t xml:space="preserve">Le sous-traitant doit ériger entièrement </w:t>
      </w:r>
      <w:proofErr w:type="gramStart"/>
      <w:r>
        <w:rPr>
          <w:rFonts w:ascii="Cambria" w:eastAsia="Cambria" w:hAnsi="Cambria" w:cs="Cambria"/>
          <w:color w:val="000000"/>
          <w:szCs w:val="24"/>
          <w:bdr w:val="nil"/>
          <w:lang w:val="fr-FR"/>
        </w:rPr>
        <w:t>la  charpente</w:t>
      </w:r>
      <w:proofErr w:type="gramEnd"/>
      <w:r>
        <w:rPr>
          <w:rFonts w:ascii="Cambria" w:eastAsia="Cambria" w:hAnsi="Cambria" w:cs="Cambria"/>
          <w:color w:val="000000"/>
          <w:szCs w:val="24"/>
          <w:bdr w:val="nil"/>
          <w:lang w:val="fr-FR"/>
        </w:rPr>
        <w:t xml:space="preserve"> en acier comme spécifié dans la section 05 10 00 et indiquée sur les plans, et la pei</w:t>
      </w:r>
      <w:r>
        <w:rPr>
          <w:rFonts w:ascii="Cambria" w:eastAsia="Cambria" w:hAnsi="Cambria" w:cs="Cambria"/>
          <w:color w:val="000000"/>
          <w:szCs w:val="24"/>
          <w:bdr w:val="nil"/>
          <w:lang w:val="fr-FR"/>
        </w:rPr>
        <w:t>nture conformément à la section 09 91 00.</w:t>
      </w:r>
    </w:p>
    <w:p w14:paraId="5AB8519D" w14:textId="76896437" w:rsidR="00072457" w:rsidRPr="00683F71" w:rsidRDefault="000D1DF1" w:rsidP="00434ACC">
      <w:pPr>
        <w:pStyle w:val="Heading2"/>
        <w:keepNext w:val="0"/>
        <w:keepLines w:val="0"/>
        <w:numPr>
          <w:ilvl w:val="1"/>
          <w:numId w:val="21"/>
        </w:numPr>
      </w:pPr>
      <w:r>
        <w:rPr>
          <w:rFonts w:ascii="Cambria" w:eastAsia="Cambria" w:hAnsi="Cambria" w:cs="Cambria"/>
          <w:color w:val="000000"/>
          <w:szCs w:val="24"/>
          <w:bdr w:val="nil"/>
          <w:lang w:val="fr-FR"/>
        </w:rPr>
        <w:t>Préparation de la surface</w:t>
      </w:r>
    </w:p>
    <w:p w14:paraId="6C1FDBBC" w14:textId="68549726" w:rsidR="00072457" w:rsidRPr="000D1DF1" w:rsidRDefault="000D1DF1" w:rsidP="00072457">
      <w:pPr>
        <w:pStyle w:val="Heading3"/>
        <w:keepNext w:val="0"/>
        <w:keepLines w:val="0"/>
        <w:ind w:hanging="270"/>
        <w:rPr>
          <w:rFonts w:ascii="Times New Roman" w:hAnsi="Times New Roman" w:cs="Times New Roman"/>
          <w:lang w:val="fr-HT"/>
        </w:rPr>
      </w:pPr>
      <w:r>
        <w:rPr>
          <w:rFonts w:ascii="Cambria" w:eastAsia="Cambria" w:hAnsi="Cambria" w:cs="Cambria"/>
          <w:color w:val="000000"/>
          <w:bdr w:val="nil"/>
          <w:lang w:val="fr-FR"/>
        </w:rPr>
        <w:t>Nettoyer soigneusement les sur</w:t>
      </w:r>
      <w:r>
        <w:rPr>
          <w:rFonts w:ascii="Cambria" w:eastAsia="Cambria" w:hAnsi="Cambria" w:cs="Cambria"/>
          <w:color w:val="000000"/>
          <w:bdr w:val="nil"/>
          <w:lang w:val="fr-FR"/>
        </w:rPr>
        <w:t>faces extérieures de la charpente en acier</w:t>
      </w:r>
    </w:p>
    <w:p w14:paraId="1D3DA420" w14:textId="27EE82A7" w:rsidR="00072457" w:rsidRDefault="000D1DF1" w:rsidP="00434ACC">
      <w:pPr>
        <w:pStyle w:val="Heading2"/>
        <w:keepNext w:val="0"/>
        <w:keepLines w:val="0"/>
        <w:numPr>
          <w:ilvl w:val="1"/>
          <w:numId w:val="21"/>
        </w:numPr>
      </w:pPr>
      <w:r>
        <w:rPr>
          <w:rFonts w:ascii="Cambria" w:eastAsia="Cambria" w:hAnsi="Cambria" w:cs="Cambria"/>
          <w:color w:val="000000"/>
          <w:szCs w:val="24"/>
          <w:bdr w:val="nil"/>
          <w:lang w:val="fr-FR"/>
        </w:rPr>
        <w:t>Panneaux photovoltaïques</w:t>
      </w:r>
    </w:p>
    <w:p w14:paraId="041718B6" w14:textId="695FB071" w:rsidR="002126F0" w:rsidRPr="000D1DF1" w:rsidRDefault="000D1DF1" w:rsidP="00434ACC">
      <w:pPr>
        <w:pStyle w:val="Heading3"/>
        <w:keepNext w:val="0"/>
        <w:keepLines w:val="0"/>
        <w:numPr>
          <w:ilvl w:val="2"/>
          <w:numId w:val="22"/>
        </w:numPr>
        <w:ind w:hanging="270"/>
        <w:rPr>
          <w:lang w:val="fr-HT"/>
        </w:rPr>
      </w:pPr>
      <w:r>
        <w:rPr>
          <w:rFonts w:ascii="Cambria" w:eastAsia="Cambria" w:hAnsi="Cambria" w:cs="Cambria"/>
          <w:color w:val="000000"/>
          <w:bdr w:val="nil"/>
          <w:lang w:val="fr-FR"/>
        </w:rPr>
        <w:t xml:space="preserve">Installez les panneaux </w:t>
      </w:r>
      <w:r>
        <w:rPr>
          <w:rFonts w:ascii="Cambria" w:eastAsia="Cambria" w:hAnsi="Cambria" w:cs="Cambria"/>
          <w:color w:val="000000"/>
          <w:bdr w:val="nil"/>
          <w:lang w:val="fr-FR"/>
        </w:rPr>
        <w:t>photovoltaïques conformément aux dessins d’atelier approuvés et aux recommandations du fabricant. Laissez un espace libre de bord à bord de 28 mm entre chaque unité de panneau photovoltaïque et un dégagement au bord de 23 mm entre les rangées/chaînes, ou c</w:t>
      </w:r>
      <w:r>
        <w:rPr>
          <w:rFonts w:ascii="Cambria" w:eastAsia="Cambria" w:hAnsi="Cambria" w:cs="Cambria"/>
          <w:color w:val="000000"/>
          <w:bdr w:val="nil"/>
          <w:lang w:val="fr-FR"/>
        </w:rPr>
        <w:t>omme indiqué sur les plans.</w:t>
      </w:r>
    </w:p>
    <w:p w14:paraId="47761C26" w14:textId="1700D9DC" w:rsidR="00D125E8" w:rsidRPr="000D1DF1" w:rsidRDefault="000D1DF1" w:rsidP="00434ACC">
      <w:pPr>
        <w:pStyle w:val="Heading3"/>
        <w:keepNext w:val="0"/>
        <w:keepLines w:val="0"/>
        <w:numPr>
          <w:ilvl w:val="2"/>
          <w:numId w:val="22"/>
        </w:numPr>
        <w:ind w:hanging="270"/>
        <w:rPr>
          <w:lang w:val="fr-HT"/>
        </w:rPr>
      </w:pPr>
      <w:r>
        <w:rPr>
          <w:rFonts w:ascii="Cambria" w:eastAsia="Cambria" w:hAnsi="Cambria" w:cs="Cambria"/>
          <w:color w:val="000000"/>
          <w:bdr w:val="nil"/>
          <w:lang w:val="fr-FR"/>
        </w:rPr>
        <w:t>Installez un conduit et un câblage pour connecter la puissance de sortie du réseau aux pompes solaires nouvellement installées dans les puits F1 et F</w:t>
      </w:r>
      <w:r>
        <w:rPr>
          <w:rFonts w:ascii="Cambria" w:eastAsia="Cambria" w:hAnsi="Cambria" w:cs="Cambria"/>
          <w:color w:val="000000"/>
          <w:bdr w:val="nil"/>
          <w:lang w:val="fr-FR"/>
        </w:rPr>
        <w:t>2</w:t>
      </w:r>
    </w:p>
    <w:p w14:paraId="544AFE3B" w14:textId="6DF67471" w:rsidR="00681EB8" w:rsidRPr="003560AF" w:rsidRDefault="000D1DF1" w:rsidP="00681EB8">
      <w:pPr>
        <w:pStyle w:val="Heading2"/>
        <w:keepNext w:val="0"/>
        <w:keepLines w:val="0"/>
        <w:numPr>
          <w:ilvl w:val="1"/>
          <w:numId w:val="21"/>
        </w:numPr>
      </w:pPr>
      <w:r>
        <w:rPr>
          <w:rFonts w:ascii="Cambria" w:eastAsia="Cambria" w:hAnsi="Cambria" w:cs="Cambria"/>
          <w:color w:val="000000"/>
          <w:szCs w:val="24"/>
          <w:bdr w:val="nil"/>
          <w:lang w:val="fr-FR"/>
        </w:rPr>
        <w:t>Placement du conduit</w:t>
      </w:r>
    </w:p>
    <w:p w14:paraId="164BA5C3" w14:textId="5D080BC8" w:rsidR="009D2304" w:rsidRPr="000D1DF1" w:rsidRDefault="000D1DF1" w:rsidP="009D2304">
      <w:pPr>
        <w:pStyle w:val="Heading3"/>
        <w:keepNext w:val="0"/>
        <w:keepLines w:val="0"/>
        <w:numPr>
          <w:ilvl w:val="2"/>
          <w:numId w:val="21"/>
        </w:numPr>
        <w:ind w:hanging="270"/>
        <w:rPr>
          <w:lang w:val="fr-HT"/>
        </w:rPr>
      </w:pPr>
      <w:r>
        <w:rPr>
          <w:rFonts w:ascii="Cambria" w:eastAsia="Cambria" w:hAnsi="Cambria" w:cs="Cambria"/>
          <w:color w:val="000000"/>
          <w:bdr w:val="nil"/>
          <w:lang w:val="fr-FR"/>
        </w:rPr>
        <w:t>Enlever une portion de 40 cm de largeur du passage de roue en béton existan</w:t>
      </w:r>
      <w:r>
        <w:rPr>
          <w:rFonts w:ascii="Cambria" w:eastAsia="Cambria" w:hAnsi="Cambria" w:cs="Cambria"/>
          <w:color w:val="000000"/>
          <w:bdr w:val="nil"/>
          <w:lang w:val="fr-FR"/>
        </w:rPr>
        <w:t xml:space="preserve">t pour installer le conduit selon </w:t>
      </w:r>
      <w:proofErr w:type="gramStart"/>
      <w:r>
        <w:rPr>
          <w:rFonts w:ascii="Cambria" w:eastAsia="Cambria" w:hAnsi="Cambria" w:cs="Cambria"/>
          <w:color w:val="000000"/>
          <w:bdr w:val="nil"/>
          <w:lang w:val="fr-FR"/>
        </w:rPr>
        <w:t>les détail</w:t>
      </w:r>
      <w:proofErr w:type="gramEnd"/>
      <w:r>
        <w:rPr>
          <w:rFonts w:ascii="Cambria" w:eastAsia="Cambria" w:hAnsi="Cambria" w:cs="Cambria"/>
          <w:color w:val="000000"/>
          <w:bdr w:val="nil"/>
          <w:lang w:val="fr-FR"/>
        </w:rPr>
        <w:t xml:space="preserve"> sur les plans</w:t>
      </w:r>
    </w:p>
    <w:bookmarkEnd w:id="7"/>
    <w:p w14:paraId="0489BF91" w14:textId="4A5976BE" w:rsidR="007B4B13" w:rsidRPr="000D1DF1" w:rsidRDefault="000D1DF1" w:rsidP="007B4B13">
      <w:pPr>
        <w:pStyle w:val="Heading3"/>
        <w:keepNext w:val="0"/>
        <w:keepLines w:val="0"/>
        <w:numPr>
          <w:ilvl w:val="2"/>
          <w:numId w:val="21"/>
        </w:numPr>
        <w:ind w:hanging="270"/>
        <w:rPr>
          <w:lang w:val="fr-HT"/>
        </w:rPr>
      </w:pPr>
      <w:r>
        <w:rPr>
          <w:rFonts w:ascii="Cambria" w:eastAsia="Cambria" w:hAnsi="Cambria" w:cs="Cambria"/>
          <w:color w:val="000000"/>
          <w:bdr w:val="nil"/>
          <w:lang w:val="fr-FR"/>
        </w:rPr>
        <w:t>Remplacez le béton par un patch conformément aux spécifications de la section 03 30 00 et aux indications des plans</w:t>
      </w:r>
    </w:p>
    <w:p w14:paraId="14A10391" w14:textId="77777777" w:rsidR="00607DDA" w:rsidRPr="000D1DF1" w:rsidRDefault="000D1DF1" w:rsidP="00434ACC">
      <w:pPr>
        <w:pStyle w:val="Heading1"/>
        <w:keepNext w:val="0"/>
        <w:keepLines w:val="0"/>
        <w:widowControl w:val="0"/>
        <w:numPr>
          <w:ilvl w:val="0"/>
          <w:numId w:val="7"/>
        </w:numPr>
        <w:rPr>
          <w:lang w:val="fr-HT"/>
        </w:rPr>
      </w:pPr>
      <w:r>
        <w:rPr>
          <w:rFonts w:ascii="Cambria" w:eastAsia="Cambria" w:hAnsi="Cambria" w:cs="Cambria"/>
          <w:color w:val="000000"/>
          <w:bdr w:val="nil"/>
          <w:lang w:val="fr-FR"/>
        </w:rPr>
        <w:t>CONTRÔLE DE LA QUALITÉ SUR LE TERRAIN</w:t>
      </w:r>
    </w:p>
    <w:p w14:paraId="00127D97" w14:textId="3363B198" w:rsidR="00607DDA" w:rsidRPr="000D1DF1" w:rsidRDefault="000D1DF1" w:rsidP="00434ACC">
      <w:pPr>
        <w:pStyle w:val="ListParagraph"/>
        <w:widowControl w:val="0"/>
        <w:numPr>
          <w:ilvl w:val="0"/>
          <w:numId w:val="23"/>
        </w:numPr>
        <w:spacing w:before="120"/>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lastRenderedPageBreak/>
        <w:t>Essais - le sous-traitant doit fournir tous les rapports et ré</w:t>
      </w:r>
      <w:r>
        <w:rPr>
          <w:rFonts w:ascii="Cambria" w:eastAsia="Cambria" w:hAnsi="Cambria" w:cs="Cambria"/>
          <w:color w:val="000000"/>
          <w:sz w:val="24"/>
          <w:szCs w:val="24"/>
          <w:bdr w:val="nil"/>
          <w:lang w:val="fr-FR"/>
        </w:rPr>
        <w:t>sultats des essais nécessaires et sera présent à une réunion de chantier pour fournir tout équipement nécessaire et toute information nécessaire pour obtenir du propriétaire et de l'entrepreneur un Certificat d'achèvement substantiel.  Les essais doivent i</w:t>
      </w:r>
      <w:r>
        <w:rPr>
          <w:rFonts w:ascii="Cambria" w:eastAsia="Cambria" w:hAnsi="Cambria" w:cs="Cambria"/>
          <w:color w:val="000000"/>
          <w:sz w:val="24"/>
          <w:szCs w:val="24"/>
          <w:bdr w:val="nil"/>
          <w:lang w:val="fr-FR"/>
        </w:rPr>
        <w:t xml:space="preserve">nclure des mesures de la puissance de sortie du groupement de panneaux PV, de l'intensité du courant et d'autres caractéristiques de sortie électrique conformes aux normes de l'industrie pour les essais sur le terrain des équipements PV. </w:t>
      </w:r>
    </w:p>
    <w:p w14:paraId="12A0E37F" w14:textId="2781DF0A" w:rsidR="003560AF" w:rsidRPr="000D1DF1" w:rsidRDefault="000D1DF1" w:rsidP="003560AF">
      <w:pPr>
        <w:pStyle w:val="ListParagraph"/>
        <w:numPr>
          <w:ilvl w:val="0"/>
          <w:numId w:val="23"/>
        </w:numPr>
        <w:rPr>
          <w:rFonts w:asciiTheme="majorHAnsi" w:eastAsiaTheme="majorEastAsia" w:hAnsiTheme="majorHAnsi" w:cstheme="majorBidi"/>
          <w:color w:val="000000" w:themeColor="text1"/>
          <w:sz w:val="24"/>
          <w:szCs w:val="24"/>
          <w:lang w:val="fr-HT"/>
        </w:rPr>
      </w:pPr>
      <w:r>
        <w:rPr>
          <w:rFonts w:ascii="Cambria" w:eastAsia="Times New Roman" w:hAnsi="Cambria" w:cs="Times New Roman"/>
          <w:color w:val="000000"/>
          <w:sz w:val="24"/>
          <w:szCs w:val="24"/>
          <w:bdr w:val="nil"/>
          <w:lang w:val="fr-FR"/>
        </w:rPr>
        <w:t xml:space="preserve">Les tests doivent être effectués en présence de l'ingénieur et du propriétaire, conformément aux procédures standard de l'entrepreneur, telles que décrites dans les dispositions applicables des </w:t>
      </w:r>
      <w:r>
        <w:rPr>
          <w:rFonts w:ascii="Cambria" w:eastAsia="Times New Roman" w:hAnsi="Cambria" w:cs="Times New Roman"/>
          <w:color w:val="000000"/>
          <w:sz w:val="24"/>
          <w:szCs w:val="24"/>
          <w:bdr w:val="nil"/>
          <w:lang w:val="fr-FR"/>
        </w:rPr>
        <w:t>Conditions générales de DAI et du Contrat d'infrastructure en sous-traitance à prix fixe et prix unitaire fixe (00 70 00 du présent cahier des charges). Ce processus doit faire partie de la formation fournie au propriétaire.</w:t>
      </w:r>
    </w:p>
    <w:p w14:paraId="45492CCA" w14:textId="2752E18D" w:rsidR="00607DDA" w:rsidRPr="000D1DF1" w:rsidRDefault="000D1DF1" w:rsidP="00434ACC">
      <w:pPr>
        <w:pStyle w:val="ListParagraph"/>
        <w:widowControl w:val="0"/>
        <w:numPr>
          <w:ilvl w:val="0"/>
          <w:numId w:val="23"/>
        </w:numPr>
        <w:spacing w:before="120"/>
        <w:rPr>
          <w:rFonts w:asciiTheme="majorHAnsi" w:eastAsiaTheme="majorEastAsia" w:hAnsiTheme="majorHAnsi" w:cstheme="majorBidi"/>
          <w:color w:val="000000" w:themeColor="text1"/>
          <w:sz w:val="24"/>
          <w:szCs w:val="24"/>
          <w:lang w:val="fr-HT"/>
        </w:rPr>
      </w:pPr>
      <w:r>
        <w:rPr>
          <w:rFonts w:ascii="Cambria" w:eastAsia="Cambria" w:hAnsi="Cambria" w:cs="Cambria"/>
          <w:color w:val="000000"/>
          <w:sz w:val="24"/>
          <w:szCs w:val="24"/>
          <w:bdr w:val="nil"/>
          <w:lang w:val="fr-FR"/>
        </w:rPr>
        <w:t xml:space="preserve">Essais connexes - l'essai du générateur photovoltaïque doit être effectué conjointement aux essais sur </w:t>
      </w:r>
      <w:proofErr w:type="gramStart"/>
      <w:r>
        <w:rPr>
          <w:rFonts w:ascii="Cambria" w:eastAsia="Cambria" w:hAnsi="Cambria" w:cs="Cambria"/>
          <w:color w:val="000000"/>
          <w:sz w:val="24"/>
          <w:szCs w:val="24"/>
          <w:bdr w:val="nil"/>
          <w:lang w:val="fr-FR"/>
        </w:rPr>
        <w:t>le terrain décrits</w:t>
      </w:r>
      <w:proofErr w:type="gramEnd"/>
      <w:r>
        <w:rPr>
          <w:rFonts w:ascii="Cambria" w:eastAsia="Cambria" w:hAnsi="Cambria" w:cs="Cambria"/>
          <w:color w:val="000000"/>
          <w:sz w:val="24"/>
          <w:szCs w:val="24"/>
          <w:bdr w:val="nil"/>
          <w:lang w:val="fr-FR"/>
        </w:rPr>
        <w:t xml:space="preserve"> à la section 33 11 36 pour les pompes solaires submersibles.  </w:t>
      </w:r>
    </w:p>
    <w:p w14:paraId="7922C7A6" w14:textId="77777777" w:rsidR="00072457" w:rsidRDefault="000D1DF1" w:rsidP="00434ACC">
      <w:pPr>
        <w:pStyle w:val="Heading1"/>
        <w:keepNext w:val="0"/>
        <w:keepLines w:val="0"/>
        <w:numPr>
          <w:ilvl w:val="0"/>
          <w:numId w:val="7"/>
        </w:numPr>
        <w:rPr>
          <w:lang w:val="fr-FR"/>
        </w:rPr>
      </w:pPr>
      <w:r>
        <w:rPr>
          <w:rFonts w:ascii="Cambria" w:eastAsia="Cambria" w:hAnsi="Cambria" w:cs="Cambria"/>
          <w:color w:val="000000"/>
          <w:bdr w:val="nil"/>
          <w:lang w:val="fr-FR"/>
        </w:rPr>
        <w:t>ACTIVITÉS D'ACHÈVEMENT</w:t>
      </w:r>
    </w:p>
    <w:p w14:paraId="5819FA75" w14:textId="708DF854" w:rsidR="00072457" w:rsidRPr="000D1DF1" w:rsidRDefault="000D1DF1" w:rsidP="003560AF">
      <w:pPr>
        <w:pStyle w:val="Heading2"/>
        <w:keepNext w:val="0"/>
        <w:keepLines w:val="0"/>
        <w:numPr>
          <w:ilvl w:val="1"/>
          <w:numId w:val="24"/>
        </w:numPr>
        <w:ind w:left="1080" w:hanging="360"/>
        <w:rPr>
          <w:lang w:val="fr-HT"/>
        </w:rPr>
      </w:pPr>
      <w:r>
        <w:rPr>
          <w:rFonts w:ascii="Cambria" w:eastAsia="Cambria" w:hAnsi="Cambria" w:cs="Cambria"/>
          <w:color w:val="000000"/>
          <w:szCs w:val="24"/>
          <w:bdr w:val="nil"/>
          <w:lang w:val="fr-FR"/>
        </w:rPr>
        <w:t xml:space="preserve">Une formation doit être dispensée dans le cadre de la section 33 11 36 et </w:t>
      </w:r>
      <w:r>
        <w:rPr>
          <w:rFonts w:ascii="Cambria" w:eastAsia="Cambria" w:hAnsi="Cambria" w:cs="Cambria"/>
          <w:color w:val="000000"/>
          <w:szCs w:val="24"/>
          <w:bdr w:val="nil"/>
          <w:lang w:val="fr-FR"/>
        </w:rPr>
        <w:t>doit prendre en compte les exigences relatives à la maintenance et au fonctionnement des générateurs photovoltaïques.</w:t>
      </w:r>
    </w:p>
    <w:p w14:paraId="3DA42613" w14:textId="77777777" w:rsidR="00072457" w:rsidRPr="00B65762" w:rsidRDefault="000D1DF1" w:rsidP="00434ACC">
      <w:pPr>
        <w:numPr>
          <w:ilvl w:val="0"/>
          <w:numId w:val="7"/>
        </w:numPr>
        <w:spacing w:before="240" w:after="0"/>
        <w:outlineLvl w:val="0"/>
        <w:rPr>
          <w:rFonts w:ascii="Cambria" w:eastAsia="Times New Roman" w:hAnsi="Cambria" w:cs="Times New Roman"/>
          <w:color w:val="000000"/>
          <w:sz w:val="24"/>
          <w:szCs w:val="24"/>
        </w:rPr>
      </w:pPr>
      <w:r>
        <w:rPr>
          <w:rFonts w:ascii="Cambria" w:eastAsia="Cambria" w:hAnsi="Cambria" w:cs="Cambria"/>
          <w:color w:val="000000"/>
          <w:sz w:val="24"/>
          <w:szCs w:val="24"/>
          <w:bdr w:val="nil"/>
          <w:lang w:val="fr-FR"/>
        </w:rPr>
        <w:t xml:space="preserve">NETTOYAGE </w:t>
      </w:r>
    </w:p>
    <w:p w14:paraId="5D558370" w14:textId="3EE83CFB" w:rsidR="00072457" w:rsidRPr="000D1DF1" w:rsidRDefault="000D1DF1" w:rsidP="00434ACC">
      <w:pPr>
        <w:numPr>
          <w:ilvl w:val="1"/>
          <w:numId w:val="9"/>
        </w:numPr>
        <w:tabs>
          <w:tab w:val="left" w:pos="1080"/>
        </w:tabs>
        <w:spacing w:before="40" w:after="0"/>
        <w:ind w:left="810" w:hanging="360"/>
        <w:outlineLvl w:val="1"/>
        <w:rPr>
          <w:lang w:val="fr-HT"/>
        </w:rPr>
      </w:pPr>
      <w:r>
        <w:rPr>
          <w:rFonts w:ascii="Times New Roman" w:eastAsia="Times New Roman" w:hAnsi="Times New Roman" w:cs="Times New Roman"/>
          <w:color w:val="000000"/>
          <w:sz w:val="24"/>
          <w:szCs w:val="24"/>
          <w:bdr w:val="nil"/>
          <w:lang w:val="fr-FR"/>
        </w:rPr>
        <w:t xml:space="preserve">Tout </w:t>
      </w:r>
      <w:r>
        <w:rPr>
          <w:rFonts w:ascii="Cambria" w:eastAsia="Cambria" w:hAnsi="Cambria" w:cs="Cambria"/>
          <w:color w:val="000000"/>
          <w:sz w:val="24"/>
          <w:szCs w:val="24"/>
          <w:bdr w:val="nil"/>
          <w:lang w:val="fr-FR"/>
        </w:rPr>
        <w:t>ordure</w:t>
      </w:r>
      <w:r>
        <w:rPr>
          <w:rFonts w:ascii="Times New Roman" w:eastAsia="Times New Roman" w:hAnsi="Times New Roman" w:cs="Times New Roman"/>
          <w:color w:val="000000"/>
          <w:sz w:val="24"/>
          <w:szCs w:val="24"/>
          <w:bdr w:val="nil"/>
          <w:lang w:val="fr-FR"/>
        </w:rPr>
        <w:t xml:space="preserve">, matériaux non utilisés et autres matériaux </w:t>
      </w:r>
      <w:r>
        <w:rPr>
          <w:rFonts w:ascii="Times New Roman" w:eastAsia="Times New Roman" w:hAnsi="Times New Roman" w:cs="Times New Roman"/>
          <w:color w:val="000000"/>
          <w:sz w:val="24"/>
          <w:szCs w:val="24"/>
          <w:bdr w:val="nil"/>
          <w:lang w:val="fr-FR"/>
        </w:rPr>
        <w:t>non-indigènes doivent être retirés de la zone du réseau de panneaux PV et de ses environs immédiats</w:t>
      </w:r>
    </w:p>
    <w:p w14:paraId="34A0460A" w14:textId="77777777" w:rsidR="00072457" w:rsidRPr="000D1DF1" w:rsidRDefault="00072457" w:rsidP="00072457">
      <w:pPr>
        <w:rPr>
          <w:rFonts w:ascii="Times New Roman" w:hAnsi="Times New Roman" w:cs="Times New Roman"/>
          <w:lang w:val="fr-HT"/>
        </w:rPr>
      </w:pPr>
    </w:p>
    <w:p w14:paraId="03ABCC1F" w14:textId="77777777" w:rsidR="00072457" w:rsidRPr="000D1DF1" w:rsidRDefault="00072457" w:rsidP="00072457">
      <w:pPr>
        <w:pStyle w:val="ListParagraph"/>
        <w:rPr>
          <w:rFonts w:ascii="Times New Roman" w:hAnsi="Times New Roman" w:cs="Times New Roman"/>
          <w:lang w:val="fr-HT"/>
        </w:rPr>
      </w:pPr>
    </w:p>
    <w:p w14:paraId="3693FABC" w14:textId="0F125380" w:rsidR="007E5FDA" w:rsidRPr="00645A56" w:rsidRDefault="000D1DF1" w:rsidP="003560AF">
      <w:pPr>
        <w:jc w:val="center"/>
      </w:pPr>
      <w:r>
        <w:rPr>
          <w:rFonts w:ascii="Times New Roman" w:eastAsia="Times New Roman" w:hAnsi="Times New Roman" w:cs="Times New Roman"/>
          <w:bdr w:val="nil"/>
          <w:lang w:val="fr-FR"/>
        </w:rPr>
        <w:t>FIN DE SECTION</w:t>
      </w:r>
    </w:p>
    <w:sectPr w:rsidR="007E5FDA" w:rsidRPr="00645A56" w:rsidSect="00995E17">
      <w:footerReference w:type="default" r:id="rId7"/>
      <w:type w:val="continuous"/>
      <w:pgSz w:w="12240" w:h="15840"/>
      <w:pgMar w:top="1440" w:right="1440" w:bottom="15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3EDAF" w14:textId="77777777" w:rsidR="00000000" w:rsidRDefault="000D1DF1">
      <w:pPr>
        <w:spacing w:after="0" w:line="240" w:lineRule="auto"/>
      </w:pPr>
      <w:r>
        <w:separator/>
      </w:r>
    </w:p>
  </w:endnote>
  <w:endnote w:type="continuationSeparator" w:id="0">
    <w:p w14:paraId="361DF911" w14:textId="77777777" w:rsidR="00000000" w:rsidRDefault="000D1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70E7CCC2" w:rsidR="00510AFF" w:rsidRPr="00EC1322" w:rsidRDefault="000D1DF1">
    <w:pPr>
      <w:pStyle w:val="Footer"/>
      <w:rPr>
        <w:rFonts w:ascii="Times New Roman" w:hAnsi="Times New Roman" w:cs="Times New Roman"/>
        <w:b/>
        <w:i/>
      </w:rPr>
    </w:pPr>
    <w:r>
      <w:rPr>
        <w:rFonts w:ascii="Times New Roman" w:eastAsia="Times New Roman" w:hAnsi="Times New Roman" w:cs="Times New Roman"/>
        <w:b/>
        <w:bCs/>
        <w:i/>
        <w:iCs/>
        <w:bdr w:val="nil"/>
        <w:lang w:val="fr-FR"/>
      </w:rPr>
      <w:t>USAID WATER/SANITATION</w:t>
    </w:r>
    <w:r>
      <w:rPr>
        <w:rFonts w:ascii="Times New Roman" w:eastAsia="Times New Roman" w:hAnsi="Times New Roman" w:cs="Times New Roman"/>
        <w:b/>
        <w:bCs/>
        <w:i/>
        <w:iCs/>
        <w:bdr w:val="nil"/>
        <w:lang w:val="fr-FR"/>
      </w:rPr>
      <w:tab/>
      <w:t>26 31 00</w:t>
    </w:r>
    <w:r>
      <w:ptab w:relativeTo="margin" w:alignment="right" w:leader="none"/>
    </w:r>
    <w:r>
      <w:rPr>
        <w:rFonts w:ascii="Times New Roman" w:eastAsia="Times New Roman" w:hAnsi="Times New Roman" w:cs="Times New Roman"/>
        <w:b/>
        <w:bCs/>
        <w:i/>
        <w:iCs/>
        <w:bdr w:val="nil"/>
        <w:lang w:val="fr-FR"/>
      </w:rPr>
      <w:t>Spécifications techniques</w:t>
    </w:r>
    <w:r w:rsidR="005D5541">
      <w:rPr>
        <w:rFonts w:ascii="Times New Roman" w:hAnsi="Times New Roman" w:cs="Times New Roman"/>
        <w:b/>
        <w:i/>
      </w:rPr>
      <w:fldChar w:fldCharType="begin"/>
    </w:r>
    <w:r w:rsidR="005D5541">
      <w:rPr>
        <w:rFonts w:ascii="Times New Roman" w:hAnsi="Times New Roman" w:cs="Times New Roman"/>
        <w:b/>
        <w:i/>
      </w:rPr>
      <w:instrText xml:space="preserve"> PAGE   \* MERGEFORMAT </w:instrText>
    </w:r>
    <w:r w:rsidR="005D5541">
      <w:rPr>
        <w:rFonts w:ascii="Times New Roman" w:hAnsi="Times New Roman" w:cs="Times New Roman"/>
        <w:b/>
        <w:i/>
      </w:rPr>
      <w:fldChar w:fldCharType="separate"/>
    </w:r>
    <w:r w:rsidR="00E12E16">
      <w:rPr>
        <w:rFonts w:ascii="Times New Roman" w:hAnsi="Times New Roman" w:cs="Times New Roman"/>
        <w:b/>
        <w:i/>
        <w:noProof/>
      </w:rPr>
      <w:t>5</w:t>
    </w:r>
    <w:r w:rsidR="005D5541">
      <w:rPr>
        <w:rFonts w:ascii="Times New Roman" w:hAnsi="Times New Roman" w:cs="Times New Roman"/>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AC46" w14:textId="77777777" w:rsidR="00000000" w:rsidRDefault="000D1DF1">
      <w:pPr>
        <w:spacing w:after="0" w:line="240" w:lineRule="auto"/>
      </w:pPr>
      <w:r>
        <w:separator/>
      </w:r>
    </w:p>
  </w:footnote>
  <w:footnote w:type="continuationSeparator" w:id="0">
    <w:p w14:paraId="345B3FE0" w14:textId="77777777" w:rsidR="00000000" w:rsidRDefault="000D1D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548DAB0"/>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954"/>
        </w:tabs>
        <w:ind w:left="954" w:hanging="864"/>
      </w:pPr>
      <w:rPr>
        <w:b/>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DF804CC"/>
    <w:multiLevelType w:val="multilevel"/>
    <w:tmpl w:val="5EFE9120"/>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sz w:val="24"/>
        <w:szCs w:val="24"/>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5"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6" w15:restartNumberingAfterBreak="0">
    <w:nsid w:val="2A634AB8"/>
    <w:multiLevelType w:val="multilevel"/>
    <w:tmpl w:val="CC9AD3BC"/>
    <w:lvl w:ilvl="0">
      <w:start w:val="1"/>
      <w:numFmt w:val="decimal"/>
      <w:lvlText w:val="2.%1"/>
      <w:lvlJc w:val="left"/>
      <w:pPr>
        <w:ind w:left="360" w:hanging="360"/>
      </w:pPr>
      <w:rPr>
        <w:rFonts w:hint="default"/>
      </w:rPr>
    </w:lvl>
    <w:lvl w:ilvl="1">
      <w:start w:val="1"/>
      <w:numFmt w:val="decimal"/>
      <w:lvlText w:val="%2."/>
      <w:lvlJc w:val="left"/>
      <w:pPr>
        <w:ind w:left="720" w:firstLine="0"/>
      </w:pPr>
      <w:rPr>
        <w:rFonts w:asciiTheme="majorHAnsi" w:eastAsiaTheme="majorEastAsia" w:hAnsiTheme="majorHAnsi" w:cstheme="majorBidi"/>
      </w:rPr>
    </w:lvl>
    <w:lvl w:ilvl="2">
      <w:start w:val="1"/>
      <w:numFmt w:val="decimal"/>
      <w:lvlText w:val="%3."/>
      <w:lvlJc w:val="left"/>
      <w:pPr>
        <w:ind w:left="1440" w:firstLine="0"/>
      </w:pPr>
      <w:rPr>
        <w:rFonts w:asciiTheme="majorHAnsi" w:eastAsiaTheme="majorEastAsia" w:hAnsiTheme="majorHAnsi" w:cstheme="majorBidi"/>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34A44250"/>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4CEA778F"/>
    <w:multiLevelType w:val="hybridMultilevel"/>
    <w:tmpl w:val="DD220832"/>
    <w:lvl w:ilvl="0" w:tplc="D3120208">
      <w:start w:val="1"/>
      <w:numFmt w:val="upperLetter"/>
      <w:lvlText w:val="%1."/>
      <w:lvlJc w:val="left"/>
      <w:pPr>
        <w:ind w:left="1801" w:hanging="360"/>
      </w:pPr>
    </w:lvl>
    <w:lvl w:ilvl="1" w:tplc="2FCAC268" w:tentative="1">
      <w:start w:val="1"/>
      <w:numFmt w:val="lowerLetter"/>
      <w:lvlText w:val="%2."/>
      <w:lvlJc w:val="left"/>
      <w:pPr>
        <w:ind w:left="2521" w:hanging="360"/>
      </w:pPr>
    </w:lvl>
    <w:lvl w:ilvl="2" w:tplc="A3346F1E" w:tentative="1">
      <w:start w:val="1"/>
      <w:numFmt w:val="lowerRoman"/>
      <w:lvlText w:val="%3."/>
      <w:lvlJc w:val="right"/>
      <w:pPr>
        <w:ind w:left="3241" w:hanging="180"/>
      </w:pPr>
    </w:lvl>
    <w:lvl w:ilvl="3" w:tplc="4EAEDAC0" w:tentative="1">
      <w:start w:val="1"/>
      <w:numFmt w:val="decimal"/>
      <w:lvlText w:val="%4."/>
      <w:lvlJc w:val="left"/>
      <w:pPr>
        <w:ind w:left="3961" w:hanging="360"/>
      </w:pPr>
    </w:lvl>
    <w:lvl w:ilvl="4" w:tplc="AFF614D4" w:tentative="1">
      <w:start w:val="1"/>
      <w:numFmt w:val="lowerLetter"/>
      <w:lvlText w:val="%5."/>
      <w:lvlJc w:val="left"/>
      <w:pPr>
        <w:ind w:left="4681" w:hanging="360"/>
      </w:pPr>
    </w:lvl>
    <w:lvl w:ilvl="5" w:tplc="715418CA" w:tentative="1">
      <w:start w:val="1"/>
      <w:numFmt w:val="lowerRoman"/>
      <w:lvlText w:val="%6."/>
      <w:lvlJc w:val="right"/>
      <w:pPr>
        <w:ind w:left="5401" w:hanging="180"/>
      </w:pPr>
    </w:lvl>
    <w:lvl w:ilvl="6" w:tplc="611E26CA" w:tentative="1">
      <w:start w:val="1"/>
      <w:numFmt w:val="decimal"/>
      <w:lvlText w:val="%7."/>
      <w:lvlJc w:val="left"/>
      <w:pPr>
        <w:ind w:left="6121" w:hanging="360"/>
      </w:pPr>
    </w:lvl>
    <w:lvl w:ilvl="7" w:tplc="9716D548" w:tentative="1">
      <w:start w:val="1"/>
      <w:numFmt w:val="lowerLetter"/>
      <w:lvlText w:val="%8."/>
      <w:lvlJc w:val="left"/>
      <w:pPr>
        <w:ind w:left="6841" w:hanging="360"/>
      </w:pPr>
    </w:lvl>
    <w:lvl w:ilvl="8" w:tplc="D23A9978" w:tentative="1">
      <w:start w:val="1"/>
      <w:numFmt w:val="lowerRoman"/>
      <w:lvlText w:val="%9."/>
      <w:lvlJc w:val="right"/>
      <w:pPr>
        <w:ind w:left="7561" w:hanging="180"/>
      </w:pPr>
    </w:lvl>
  </w:abstractNum>
  <w:abstractNum w:abstractNumId="9" w15:restartNumberingAfterBreak="0">
    <w:nsid w:val="4FEB1F1B"/>
    <w:multiLevelType w:val="hybridMultilevel"/>
    <w:tmpl w:val="EB82897E"/>
    <w:lvl w:ilvl="0" w:tplc="15022FD4">
      <w:start w:val="1"/>
      <w:numFmt w:val="upperLetter"/>
      <w:lvlText w:val="%1."/>
      <w:lvlJc w:val="left"/>
      <w:pPr>
        <w:ind w:left="1080" w:hanging="360"/>
      </w:pPr>
    </w:lvl>
    <w:lvl w:ilvl="1" w:tplc="53101DAC" w:tentative="1">
      <w:start w:val="1"/>
      <w:numFmt w:val="lowerLetter"/>
      <w:lvlText w:val="%2."/>
      <w:lvlJc w:val="left"/>
      <w:pPr>
        <w:ind w:left="1800" w:hanging="360"/>
      </w:pPr>
    </w:lvl>
    <w:lvl w:ilvl="2" w:tplc="AED22194" w:tentative="1">
      <w:start w:val="1"/>
      <w:numFmt w:val="lowerRoman"/>
      <w:lvlText w:val="%3."/>
      <w:lvlJc w:val="right"/>
      <w:pPr>
        <w:ind w:left="2520" w:hanging="180"/>
      </w:pPr>
    </w:lvl>
    <w:lvl w:ilvl="3" w:tplc="B2088946" w:tentative="1">
      <w:start w:val="1"/>
      <w:numFmt w:val="decimal"/>
      <w:lvlText w:val="%4."/>
      <w:lvlJc w:val="left"/>
      <w:pPr>
        <w:ind w:left="3240" w:hanging="360"/>
      </w:pPr>
    </w:lvl>
    <w:lvl w:ilvl="4" w:tplc="C254AD14" w:tentative="1">
      <w:start w:val="1"/>
      <w:numFmt w:val="lowerLetter"/>
      <w:lvlText w:val="%5."/>
      <w:lvlJc w:val="left"/>
      <w:pPr>
        <w:ind w:left="3960" w:hanging="360"/>
      </w:pPr>
    </w:lvl>
    <w:lvl w:ilvl="5" w:tplc="429E3E12" w:tentative="1">
      <w:start w:val="1"/>
      <w:numFmt w:val="lowerRoman"/>
      <w:lvlText w:val="%6."/>
      <w:lvlJc w:val="right"/>
      <w:pPr>
        <w:ind w:left="4680" w:hanging="180"/>
      </w:pPr>
    </w:lvl>
    <w:lvl w:ilvl="6" w:tplc="B08442A8" w:tentative="1">
      <w:start w:val="1"/>
      <w:numFmt w:val="decimal"/>
      <w:lvlText w:val="%7."/>
      <w:lvlJc w:val="left"/>
      <w:pPr>
        <w:ind w:left="5400" w:hanging="360"/>
      </w:pPr>
    </w:lvl>
    <w:lvl w:ilvl="7" w:tplc="96107C04" w:tentative="1">
      <w:start w:val="1"/>
      <w:numFmt w:val="lowerLetter"/>
      <w:lvlText w:val="%8."/>
      <w:lvlJc w:val="left"/>
      <w:pPr>
        <w:ind w:left="6120" w:hanging="360"/>
      </w:pPr>
    </w:lvl>
    <w:lvl w:ilvl="8" w:tplc="4B06BDA2" w:tentative="1">
      <w:start w:val="1"/>
      <w:numFmt w:val="lowerRoman"/>
      <w:lvlText w:val="%9."/>
      <w:lvlJc w:val="right"/>
      <w:pPr>
        <w:ind w:left="6840" w:hanging="180"/>
      </w:pPr>
    </w:lvl>
  </w:abstractNum>
  <w:abstractNum w:abstractNumId="10" w15:restartNumberingAfterBreak="0">
    <w:nsid w:val="67B14D96"/>
    <w:multiLevelType w:val="multilevel"/>
    <w:tmpl w:val="D4AC442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1" w15:restartNumberingAfterBreak="0">
    <w:nsid w:val="6CF36B2A"/>
    <w:multiLevelType w:val="multilevel"/>
    <w:tmpl w:val="ADECB518"/>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sz w:val="24"/>
        <w:szCs w:val="24"/>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2"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7AD62C04"/>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7C00639D"/>
    <w:multiLevelType w:val="multilevel"/>
    <w:tmpl w:val="5EFE9120"/>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sz w:val="24"/>
        <w:szCs w:val="24"/>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5" w15:restartNumberingAfterBreak="0">
    <w:nsid w:val="7C16315F"/>
    <w:multiLevelType w:val="multilevel"/>
    <w:tmpl w:val="CD1E84CA"/>
    <w:lvl w:ilvl="0">
      <w:start w:val="1"/>
      <w:numFmt w:val="decimal"/>
      <w:lvlText w:val="1.%1"/>
      <w:lvlJc w:val="left"/>
      <w:pPr>
        <w:ind w:left="360" w:hanging="360"/>
      </w:pPr>
      <w:rPr>
        <w:rFonts w:hint="default"/>
        <w:b w:val="0"/>
      </w:rPr>
    </w:lvl>
    <w:lvl w:ilvl="1">
      <w:start w:val="1"/>
      <w:numFmt w:val="upperLetter"/>
      <w:lvlText w:val="%2."/>
      <w:lvlJc w:val="left"/>
      <w:pPr>
        <w:ind w:left="1080" w:hanging="360"/>
      </w:pPr>
      <w:rPr>
        <w:rFonts w:hint="default"/>
      </w:rPr>
    </w:lvl>
    <w:lvl w:ilvl="2">
      <w:start w:val="1"/>
      <w:numFmt w:val="upperLetter"/>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num w:numId="1">
    <w:abstractNumId w:val="2"/>
  </w:num>
  <w:num w:numId="2">
    <w:abstractNumId w:val="1"/>
  </w:num>
  <w:num w:numId="3">
    <w:abstractNumId w:val="6"/>
  </w:num>
  <w:num w:numId="4">
    <w:abstractNumId w:val="1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0"/>
  </w:num>
  <w:num w:numId="9">
    <w:abstractNumId w:val="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num>
  <w:num w:numId="27">
    <w:abstractNumId w:val="1"/>
  </w:num>
  <w:num w:numId="28">
    <w:abstractNumId w:val="1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num>
  <w:num w:numId="32">
    <w:abstractNumId w:val="14"/>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3NzS1NDK2tDS0MDBW0lEKTi0uzszPAykwrAUAQhheKSwAAAA="/>
  </w:docVars>
  <w:rsids>
    <w:rsidRoot w:val="001E65FB"/>
    <w:rsid w:val="000051E2"/>
    <w:rsid w:val="00005DB4"/>
    <w:rsid w:val="00013E07"/>
    <w:rsid w:val="00055500"/>
    <w:rsid w:val="00072457"/>
    <w:rsid w:val="000B2137"/>
    <w:rsid w:val="000C287A"/>
    <w:rsid w:val="000D103C"/>
    <w:rsid w:val="000D1DF1"/>
    <w:rsid w:val="000D6810"/>
    <w:rsid w:val="000F18DC"/>
    <w:rsid w:val="000F33BE"/>
    <w:rsid w:val="000F5475"/>
    <w:rsid w:val="0011793F"/>
    <w:rsid w:val="00125369"/>
    <w:rsid w:val="00131365"/>
    <w:rsid w:val="001544B0"/>
    <w:rsid w:val="00162D14"/>
    <w:rsid w:val="0018332A"/>
    <w:rsid w:val="001B613D"/>
    <w:rsid w:val="001D5FCF"/>
    <w:rsid w:val="001E65FB"/>
    <w:rsid w:val="001F308C"/>
    <w:rsid w:val="002126F0"/>
    <w:rsid w:val="00221ED4"/>
    <w:rsid w:val="002733C7"/>
    <w:rsid w:val="002A5F98"/>
    <w:rsid w:val="002B0593"/>
    <w:rsid w:val="002C1597"/>
    <w:rsid w:val="002E63C4"/>
    <w:rsid w:val="002F0472"/>
    <w:rsid w:val="002F585D"/>
    <w:rsid w:val="0032517A"/>
    <w:rsid w:val="003358FC"/>
    <w:rsid w:val="003402CC"/>
    <w:rsid w:val="00350B0F"/>
    <w:rsid w:val="00351727"/>
    <w:rsid w:val="003560AF"/>
    <w:rsid w:val="00382000"/>
    <w:rsid w:val="00395522"/>
    <w:rsid w:val="00396859"/>
    <w:rsid w:val="003B0C9C"/>
    <w:rsid w:val="003B3776"/>
    <w:rsid w:val="003D0891"/>
    <w:rsid w:val="003D7F5E"/>
    <w:rsid w:val="003F1994"/>
    <w:rsid w:val="003F20B8"/>
    <w:rsid w:val="003F34BA"/>
    <w:rsid w:val="003F772C"/>
    <w:rsid w:val="00412A12"/>
    <w:rsid w:val="00413923"/>
    <w:rsid w:val="00434ACC"/>
    <w:rsid w:val="0043704D"/>
    <w:rsid w:val="00440F5F"/>
    <w:rsid w:val="00440F7F"/>
    <w:rsid w:val="00467421"/>
    <w:rsid w:val="00473627"/>
    <w:rsid w:val="0049318B"/>
    <w:rsid w:val="004B2C00"/>
    <w:rsid w:val="004C3B3F"/>
    <w:rsid w:val="004C65DC"/>
    <w:rsid w:val="004D0F1D"/>
    <w:rsid w:val="004E39E2"/>
    <w:rsid w:val="0050121C"/>
    <w:rsid w:val="005016B0"/>
    <w:rsid w:val="00510AFF"/>
    <w:rsid w:val="00513201"/>
    <w:rsid w:val="005379C0"/>
    <w:rsid w:val="00543381"/>
    <w:rsid w:val="00571BD2"/>
    <w:rsid w:val="00581C25"/>
    <w:rsid w:val="005921DD"/>
    <w:rsid w:val="0059260F"/>
    <w:rsid w:val="005A6452"/>
    <w:rsid w:val="005D5541"/>
    <w:rsid w:val="005F4283"/>
    <w:rsid w:val="006022C6"/>
    <w:rsid w:val="00607DDA"/>
    <w:rsid w:val="00607ED8"/>
    <w:rsid w:val="00636BC9"/>
    <w:rsid w:val="006415BF"/>
    <w:rsid w:val="00645A56"/>
    <w:rsid w:val="00646140"/>
    <w:rsid w:val="00660FFF"/>
    <w:rsid w:val="006710FB"/>
    <w:rsid w:val="006809D9"/>
    <w:rsid w:val="00681EB8"/>
    <w:rsid w:val="00683F71"/>
    <w:rsid w:val="00687A44"/>
    <w:rsid w:val="006A29B7"/>
    <w:rsid w:val="006B69BF"/>
    <w:rsid w:val="006F01E5"/>
    <w:rsid w:val="007003D1"/>
    <w:rsid w:val="007231D2"/>
    <w:rsid w:val="00741D6A"/>
    <w:rsid w:val="00751552"/>
    <w:rsid w:val="00751E4F"/>
    <w:rsid w:val="00766833"/>
    <w:rsid w:val="00776F7C"/>
    <w:rsid w:val="00785015"/>
    <w:rsid w:val="00792605"/>
    <w:rsid w:val="007A50BC"/>
    <w:rsid w:val="007B4B13"/>
    <w:rsid w:val="007B5BA5"/>
    <w:rsid w:val="007D4C90"/>
    <w:rsid w:val="007D7E74"/>
    <w:rsid w:val="007E39C2"/>
    <w:rsid w:val="007E5FDA"/>
    <w:rsid w:val="007F7271"/>
    <w:rsid w:val="00842883"/>
    <w:rsid w:val="008472DA"/>
    <w:rsid w:val="008577B9"/>
    <w:rsid w:val="008608D0"/>
    <w:rsid w:val="00864D4A"/>
    <w:rsid w:val="008679EC"/>
    <w:rsid w:val="00871046"/>
    <w:rsid w:val="00876EC9"/>
    <w:rsid w:val="00877882"/>
    <w:rsid w:val="008943F6"/>
    <w:rsid w:val="008B4657"/>
    <w:rsid w:val="008C02F0"/>
    <w:rsid w:val="008D22C1"/>
    <w:rsid w:val="00921846"/>
    <w:rsid w:val="00931052"/>
    <w:rsid w:val="00937B6D"/>
    <w:rsid w:val="00941067"/>
    <w:rsid w:val="00944837"/>
    <w:rsid w:val="0097089E"/>
    <w:rsid w:val="00982B95"/>
    <w:rsid w:val="0099083E"/>
    <w:rsid w:val="0099180A"/>
    <w:rsid w:val="00995E17"/>
    <w:rsid w:val="009C224E"/>
    <w:rsid w:val="009D0731"/>
    <w:rsid w:val="009D2304"/>
    <w:rsid w:val="009E526E"/>
    <w:rsid w:val="009E7AA2"/>
    <w:rsid w:val="009F3E78"/>
    <w:rsid w:val="009F6210"/>
    <w:rsid w:val="00A008B5"/>
    <w:rsid w:val="00A1658A"/>
    <w:rsid w:val="00A4453B"/>
    <w:rsid w:val="00A46A58"/>
    <w:rsid w:val="00A6256A"/>
    <w:rsid w:val="00A6427D"/>
    <w:rsid w:val="00A67D22"/>
    <w:rsid w:val="00A822E5"/>
    <w:rsid w:val="00A93852"/>
    <w:rsid w:val="00AA304C"/>
    <w:rsid w:val="00AB19B3"/>
    <w:rsid w:val="00AC1FE5"/>
    <w:rsid w:val="00AE4CE6"/>
    <w:rsid w:val="00B2261E"/>
    <w:rsid w:val="00B34FD8"/>
    <w:rsid w:val="00B621BE"/>
    <w:rsid w:val="00B65762"/>
    <w:rsid w:val="00B7628F"/>
    <w:rsid w:val="00B94504"/>
    <w:rsid w:val="00BD669E"/>
    <w:rsid w:val="00BE6CBA"/>
    <w:rsid w:val="00C1375F"/>
    <w:rsid w:val="00C226E0"/>
    <w:rsid w:val="00C23DE2"/>
    <w:rsid w:val="00C24D22"/>
    <w:rsid w:val="00C50F8A"/>
    <w:rsid w:val="00C62F46"/>
    <w:rsid w:val="00C818DF"/>
    <w:rsid w:val="00C8799F"/>
    <w:rsid w:val="00C91302"/>
    <w:rsid w:val="00CB2901"/>
    <w:rsid w:val="00CB6E74"/>
    <w:rsid w:val="00CE6183"/>
    <w:rsid w:val="00D0471B"/>
    <w:rsid w:val="00D048C8"/>
    <w:rsid w:val="00D05C79"/>
    <w:rsid w:val="00D125E8"/>
    <w:rsid w:val="00D205B7"/>
    <w:rsid w:val="00D20DFC"/>
    <w:rsid w:val="00D31F03"/>
    <w:rsid w:val="00D44902"/>
    <w:rsid w:val="00D67047"/>
    <w:rsid w:val="00D80930"/>
    <w:rsid w:val="00D80D6C"/>
    <w:rsid w:val="00D84FE6"/>
    <w:rsid w:val="00DC69EF"/>
    <w:rsid w:val="00DD55B5"/>
    <w:rsid w:val="00DE3719"/>
    <w:rsid w:val="00DE5141"/>
    <w:rsid w:val="00E12E16"/>
    <w:rsid w:val="00E35425"/>
    <w:rsid w:val="00E40727"/>
    <w:rsid w:val="00E40B70"/>
    <w:rsid w:val="00E57C3A"/>
    <w:rsid w:val="00E60B6E"/>
    <w:rsid w:val="00E66FBC"/>
    <w:rsid w:val="00E74F70"/>
    <w:rsid w:val="00EA36A3"/>
    <w:rsid w:val="00EB7EAF"/>
    <w:rsid w:val="00EC1322"/>
    <w:rsid w:val="00ED2C00"/>
    <w:rsid w:val="00EE0C4A"/>
    <w:rsid w:val="00EE509D"/>
    <w:rsid w:val="00EF5069"/>
    <w:rsid w:val="00F02E8B"/>
    <w:rsid w:val="00F066EB"/>
    <w:rsid w:val="00F41053"/>
    <w:rsid w:val="00F46F26"/>
    <w:rsid w:val="00F602DB"/>
    <w:rsid w:val="00F7797D"/>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AC1CF-6C02-4FD3-8E94-923F2289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4"/>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paragraph" w:customStyle="1" w:styleId="PRT">
    <w:name w:val="PRT"/>
    <w:basedOn w:val="Normal"/>
    <w:next w:val="ART"/>
    <w:rsid w:val="00A1658A"/>
    <w:pPr>
      <w:keepNext/>
      <w:numPr>
        <w:numId w:val="8"/>
      </w:numPr>
      <w:suppressAutoHyphens/>
      <w:spacing w:before="240" w:after="0" w:line="360" w:lineRule="auto"/>
      <w:jc w:val="both"/>
      <w:outlineLvl w:val="0"/>
    </w:pPr>
    <w:rPr>
      <w:rFonts w:ascii="Courier New" w:eastAsia="Times New Roman" w:hAnsi="Courier New" w:cs="Times New Roman"/>
      <w:b/>
      <w:sz w:val="20"/>
      <w:szCs w:val="20"/>
    </w:rPr>
  </w:style>
  <w:style w:type="paragraph" w:customStyle="1" w:styleId="ART">
    <w:name w:val="ART"/>
    <w:basedOn w:val="Normal"/>
    <w:next w:val="PR1"/>
    <w:rsid w:val="00A1658A"/>
    <w:pPr>
      <w:keepNext/>
      <w:numPr>
        <w:ilvl w:val="3"/>
        <w:numId w:val="8"/>
      </w:numPr>
      <w:tabs>
        <w:tab w:val="clear" w:pos="954"/>
        <w:tab w:val="left" w:pos="720"/>
      </w:tabs>
      <w:suppressAutoHyphens/>
      <w:spacing w:before="120" w:after="0" w:line="360" w:lineRule="auto"/>
      <w:ind w:left="720" w:hanging="720"/>
      <w:outlineLvl w:val="1"/>
    </w:pPr>
    <w:rPr>
      <w:rFonts w:ascii="Courier New" w:eastAsia="Times New Roman" w:hAnsi="Courier New" w:cs="Times New Roman"/>
      <w:b/>
      <w:sz w:val="20"/>
      <w:szCs w:val="20"/>
    </w:rPr>
  </w:style>
  <w:style w:type="paragraph" w:customStyle="1" w:styleId="PR1">
    <w:name w:val="PR1"/>
    <w:basedOn w:val="Normal"/>
    <w:link w:val="PR1Char"/>
    <w:rsid w:val="00A1658A"/>
    <w:pPr>
      <w:numPr>
        <w:ilvl w:val="4"/>
        <w:numId w:val="8"/>
      </w:numPr>
      <w:tabs>
        <w:tab w:val="clear" w:pos="864"/>
        <w:tab w:val="left" w:pos="720"/>
      </w:tabs>
      <w:suppressAutoHyphens/>
      <w:spacing w:after="0" w:line="360" w:lineRule="auto"/>
      <w:ind w:left="720" w:hanging="432"/>
      <w:outlineLvl w:val="2"/>
    </w:pPr>
    <w:rPr>
      <w:rFonts w:ascii="Courier New" w:eastAsia="Times New Roman" w:hAnsi="Courier New" w:cs="Times New Roman"/>
      <w:sz w:val="20"/>
      <w:szCs w:val="20"/>
    </w:rPr>
  </w:style>
  <w:style w:type="paragraph" w:customStyle="1" w:styleId="PR2">
    <w:name w:val="PR2"/>
    <w:basedOn w:val="Normal"/>
    <w:rsid w:val="00A1658A"/>
    <w:pPr>
      <w:numPr>
        <w:ilvl w:val="5"/>
        <w:numId w:val="8"/>
      </w:numPr>
      <w:tabs>
        <w:tab w:val="clear" w:pos="1440"/>
        <w:tab w:val="left" w:pos="1152"/>
      </w:tabs>
      <w:suppressAutoHyphens/>
      <w:spacing w:after="0" w:line="360" w:lineRule="auto"/>
      <w:ind w:left="1152" w:hanging="432"/>
      <w:contextualSpacing/>
      <w:outlineLvl w:val="3"/>
    </w:pPr>
    <w:rPr>
      <w:rFonts w:ascii="Courier New" w:eastAsia="Times New Roman" w:hAnsi="Courier New" w:cs="Times New Roman"/>
      <w:sz w:val="20"/>
      <w:szCs w:val="20"/>
    </w:rPr>
  </w:style>
  <w:style w:type="paragraph" w:customStyle="1" w:styleId="PR3">
    <w:name w:val="PR3"/>
    <w:basedOn w:val="Normal"/>
    <w:rsid w:val="00A1658A"/>
    <w:pPr>
      <w:numPr>
        <w:ilvl w:val="6"/>
        <w:numId w:val="8"/>
      </w:numPr>
      <w:tabs>
        <w:tab w:val="clear" w:pos="2016"/>
        <w:tab w:val="left" w:pos="1584"/>
      </w:tabs>
      <w:suppressAutoHyphens/>
      <w:spacing w:after="0" w:line="360" w:lineRule="auto"/>
      <w:ind w:left="1584" w:hanging="432"/>
      <w:contextualSpacing/>
      <w:outlineLvl w:val="4"/>
    </w:pPr>
    <w:rPr>
      <w:rFonts w:ascii="Courier New" w:eastAsia="Times New Roman" w:hAnsi="Courier New" w:cs="Times New Roman"/>
      <w:sz w:val="20"/>
      <w:szCs w:val="20"/>
    </w:rPr>
  </w:style>
  <w:style w:type="paragraph" w:customStyle="1" w:styleId="PR4">
    <w:name w:val="PR4"/>
    <w:basedOn w:val="Normal"/>
    <w:rsid w:val="00A1658A"/>
    <w:pPr>
      <w:numPr>
        <w:ilvl w:val="7"/>
        <w:numId w:val="8"/>
      </w:numPr>
      <w:tabs>
        <w:tab w:val="clear" w:pos="2592"/>
        <w:tab w:val="left" w:pos="2016"/>
      </w:tabs>
      <w:suppressAutoHyphens/>
      <w:spacing w:after="0" w:line="360" w:lineRule="auto"/>
      <w:ind w:left="2016" w:hanging="432"/>
      <w:contextualSpacing/>
      <w:outlineLvl w:val="5"/>
    </w:pPr>
    <w:rPr>
      <w:rFonts w:ascii="Courier New" w:eastAsia="Times New Roman" w:hAnsi="Courier New" w:cs="Times New Roman"/>
      <w:sz w:val="20"/>
      <w:szCs w:val="20"/>
    </w:rPr>
  </w:style>
  <w:style w:type="paragraph" w:customStyle="1" w:styleId="PR5">
    <w:name w:val="PR5"/>
    <w:basedOn w:val="Normal"/>
    <w:rsid w:val="00A1658A"/>
    <w:pPr>
      <w:numPr>
        <w:ilvl w:val="8"/>
        <w:numId w:val="8"/>
      </w:numPr>
      <w:tabs>
        <w:tab w:val="clear" w:pos="3168"/>
        <w:tab w:val="left" w:pos="2448"/>
      </w:tabs>
      <w:suppressAutoHyphens/>
      <w:spacing w:after="0" w:line="360" w:lineRule="auto"/>
      <w:ind w:left="2448" w:hanging="432"/>
      <w:contextualSpacing/>
      <w:outlineLvl w:val="6"/>
    </w:pPr>
    <w:rPr>
      <w:rFonts w:ascii="Courier New" w:eastAsia="Times New Roman" w:hAnsi="Courier New" w:cs="Times New Roman"/>
      <w:sz w:val="20"/>
      <w:szCs w:val="20"/>
    </w:rPr>
  </w:style>
  <w:style w:type="character" w:customStyle="1" w:styleId="PR1Char">
    <w:name w:val="PR1 Char"/>
    <w:link w:val="PR1"/>
    <w:locked/>
    <w:rsid w:val="00A1658A"/>
    <w:rPr>
      <w:rFonts w:ascii="Courier New" w:eastAsia="Times New Roman" w:hAnsi="Courier New" w:cs="Times New Roman"/>
      <w:sz w:val="20"/>
      <w:szCs w:val="20"/>
    </w:rPr>
  </w:style>
  <w:style w:type="character" w:styleId="CommentReference">
    <w:name w:val="annotation reference"/>
    <w:basedOn w:val="DefaultParagraphFont"/>
    <w:uiPriority w:val="99"/>
    <w:semiHidden/>
    <w:unhideWhenUsed/>
    <w:rsid w:val="00072457"/>
    <w:rPr>
      <w:sz w:val="16"/>
      <w:szCs w:val="16"/>
    </w:rPr>
  </w:style>
  <w:style w:type="paragraph" w:styleId="CommentText">
    <w:name w:val="annotation text"/>
    <w:basedOn w:val="Normal"/>
    <w:link w:val="CommentTextChar"/>
    <w:uiPriority w:val="99"/>
    <w:semiHidden/>
    <w:unhideWhenUsed/>
    <w:rsid w:val="00072457"/>
    <w:pPr>
      <w:spacing w:line="240" w:lineRule="auto"/>
    </w:pPr>
    <w:rPr>
      <w:sz w:val="20"/>
      <w:szCs w:val="20"/>
    </w:rPr>
  </w:style>
  <w:style w:type="character" w:customStyle="1" w:styleId="CommentTextChar">
    <w:name w:val="Comment Text Char"/>
    <w:basedOn w:val="DefaultParagraphFont"/>
    <w:link w:val="CommentText"/>
    <w:uiPriority w:val="99"/>
    <w:semiHidden/>
    <w:rsid w:val="00072457"/>
    <w:rPr>
      <w:sz w:val="20"/>
      <w:szCs w:val="20"/>
    </w:rPr>
  </w:style>
  <w:style w:type="paragraph" w:styleId="HTMLPreformatted">
    <w:name w:val="HTML Preformatted"/>
    <w:basedOn w:val="Normal"/>
    <w:link w:val="HTMLPreformattedChar"/>
    <w:uiPriority w:val="99"/>
    <w:semiHidden/>
    <w:unhideWhenUsed/>
    <w:rsid w:val="003B0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0C9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1629</Words>
  <Characters>9287</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Gary.Paradoski</dc:creator>
  <cp:lastModifiedBy>John Liss Corelus</cp:lastModifiedBy>
  <cp:revision>2</cp:revision>
  <cp:lastPrinted>2019-02-10T01:37:00Z</cp:lastPrinted>
  <dcterms:created xsi:type="dcterms:W3CDTF">2019-05-15T16:42:00Z</dcterms:created>
  <dcterms:modified xsi:type="dcterms:W3CDTF">2019-05-15T16:42:00Z</dcterms:modified>
</cp:coreProperties>
</file>