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31E03" w14:textId="7FC2169E" w:rsidR="0044032F" w:rsidRPr="00E55971" w:rsidRDefault="0044032F" w:rsidP="0044032F">
      <w:pPr>
        <w:jc w:val="center"/>
        <w:rPr>
          <w:rFonts w:ascii="Times New Roman" w:hAnsi="Times New Roman" w:cs="Times New Roman"/>
          <w:b/>
          <w:sz w:val="28"/>
          <w:szCs w:val="28"/>
          <w:lang w:val="fr-CA"/>
        </w:rPr>
      </w:pPr>
      <w:bookmarkStart w:id="0" w:name="_Hlk517717437"/>
      <w:bookmarkStart w:id="1" w:name="_GoBack"/>
      <w:bookmarkEnd w:id="1"/>
      <w:r w:rsidRPr="00E55971">
        <w:rPr>
          <w:rFonts w:ascii="Times New Roman" w:hAnsi="Times New Roman" w:cs="Times New Roman"/>
          <w:b/>
          <w:sz w:val="28"/>
          <w:szCs w:val="28"/>
          <w:lang w:val="fr-CA"/>
        </w:rPr>
        <w:t>SECTION</w:t>
      </w:r>
      <w:r w:rsidR="00CA77D4">
        <w:rPr>
          <w:rFonts w:ascii="Times New Roman" w:hAnsi="Times New Roman" w:cs="Times New Roman"/>
          <w:b/>
          <w:sz w:val="28"/>
          <w:szCs w:val="28"/>
          <w:lang w:val="fr-CA"/>
        </w:rPr>
        <w:t> </w:t>
      </w:r>
      <w:r w:rsidRPr="00E55971">
        <w:rPr>
          <w:rFonts w:ascii="Times New Roman" w:hAnsi="Times New Roman" w:cs="Times New Roman"/>
          <w:b/>
          <w:sz w:val="28"/>
          <w:szCs w:val="28"/>
          <w:lang w:val="fr-CA"/>
        </w:rPr>
        <w:t>0</w:t>
      </w:r>
      <w:r w:rsidR="00A419E1">
        <w:rPr>
          <w:rFonts w:ascii="Times New Roman" w:hAnsi="Times New Roman" w:cs="Times New Roman"/>
          <w:b/>
          <w:sz w:val="28"/>
          <w:szCs w:val="28"/>
          <w:lang w:val="fr-CA"/>
        </w:rPr>
        <w:t>1</w:t>
      </w:r>
      <w:r w:rsidRPr="00E55971">
        <w:rPr>
          <w:rFonts w:ascii="Times New Roman" w:hAnsi="Times New Roman" w:cs="Times New Roman"/>
          <w:b/>
          <w:sz w:val="28"/>
          <w:szCs w:val="28"/>
          <w:lang w:val="fr-CA"/>
        </w:rPr>
        <w:t xml:space="preserve"> </w:t>
      </w:r>
      <w:r w:rsidR="00A419E1">
        <w:rPr>
          <w:rFonts w:ascii="Times New Roman" w:hAnsi="Times New Roman" w:cs="Times New Roman"/>
          <w:b/>
          <w:sz w:val="28"/>
          <w:szCs w:val="28"/>
          <w:lang w:val="fr-CA"/>
        </w:rPr>
        <w:t>25</w:t>
      </w:r>
      <w:r w:rsidRPr="00E55971">
        <w:rPr>
          <w:rFonts w:ascii="Times New Roman" w:hAnsi="Times New Roman" w:cs="Times New Roman"/>
          <w:b/>
          <w:sz w:val="28"/>
          <w:szCs w:val="28"/>
          <w:lang w:val="fr-CA"/>
        </w:rPr>
        <w:t xml:space="preserve"> </w:t>
      </w:r>
      <w:r w:rsidR="00A419E1">
        <w:rPr>
          <w:rFonts w:ascii="Times New Roman" w:hAnsi="Times New Roman" w:cs="Times New Roman"/>
          <w:b/>
          <w:sz w:val="28"/>
          <w:szCs w:val="28"/>
          <w:lang w:val="fr-CA"/>
        </w:rPr>
        <w:t>13</w:t>
      </w:r>
    </w:p>
    <w:p w14:paraId="62735698" w14:textId="073B9C1C" w:rsidR="0044032F" w:rsidRPr="00E55971" w:rsidRDefault="00E55971" w:rsidP="0044032F">
      <w:pPr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E55971">
        <w:rPr>
          <w:rFonts w:ascii="Times New Roman" w:hAnsi="Times New Roman" w:cs="Times New Roman"/>
          <w:b/>
          <w:sz w:val="24"/>
          <w:szCs w:val="24"/>
          <w:lang w:val="fr-CA"/>
        </w:rPr>
        <w:t>Procédures de</w:t>
      </w:r>
      <w:r w:rsidR="0044032F" w:rsidRPr="00E55971">
        <w:rPr>
          <w:rFonts w:ascii="Times New Roman" w:hAnsi="Times New Roman" w:cs="Times New Roman"/>
          <w:b/>
          <w:sz w:val="24"/>
          <w:szCs w:val="24"/>
          <w:lang w:val="fr-CA"/>
        </w:rPr>
        <w:t xml:space="preserve"> substitution de produits</w:t>
      </w:r>
    </w:p>
    <w:bookmarkEnd w:id="0"/>
    <w:p w14:paraId="7DCDE8A5" w14:textId="44DDB9DD" w:rsidR="0044032F" w:rsidRPr="00E55971" w:rsidRDefault="0044032F" w:rsidP="0044032F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E55971">
        <w:rPr>
          <w:rFonts w:ascii="Times New Roman" w:hAnsi="Times New Roman" w:cs="Times New Roman"/>
          <w:b/>
          <w:lang w:val="fr-CA"/>
        </w:rPr>
        <w:t>PA</w:t>
      </w:r>
      <w:r w:rsidRPr="00E55971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CA77D4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E55971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CA77D4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E55971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  <w:r w:rsidR="00C9189D">
        <w:rPr>
          <w:rFonts w:ascii="Times New Roman" w:hAnsi="Times New Roman" w:cs="Times New Roman"/>
          <w:b/>
          <w:color w:val="000000" w:themeColor="text1"/>
          <w:lang w:val="fr-CA"/>
        </w:rPr>
        <w:t>ITÉS</w:t>
      </w:r>
    </w:p>
    <w:p w14:paraId="5F630391" w14:textId="77777777" w:rsidR="0044032F" w:rsidRPr="00E55971" w:rsidRDefault="0044032F" w:rsidP="0044032F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</w:p>
    <w:p w14:paraId="748CB4CE" w14:textId="77777777" w:rsidR="0044032F" w:rsidRPr="00E55971" w:rsidRDefault="0044032F" w:rsidP="0044032F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E55971">
        <w:rPr>
          <w:lang w:val="fr-CA"/>
        </w:rPr>
        <w:t>RÉSUMÉ</w:t>
      </w:r>
    </w:p>
    <w:p w14:paraId="55012896" w14:textId="4FA00653" w:rsidR="0044032F" w:rsidRPr="00E55971" w:rsidRDefault="0044032F" w:rsidP="0044032F">
      <w:pPr>
        <w:pStyle w:val="Heading2"/>
        <w:keepNext w:val="0"/>
        <w:keepLines w:val="0"/>
        <w:numPr>
          <w:ilvl w:val="1"/>
          <w:numId w:val="4"/>
        </w:numPr>
        <w:rPr>
          <w:lang w:val="fr-CA"/>
        </w:rPr>
      </w:pPr>
      <w:r w:rsidRPr="00E55971">
        <w:rPr>
          <w:lang w:val="fr-CA"/>
        </w:rPr>
        <w:t>Cette section englobe</w:t>
      </w:r>
      <w:r w:rsidR="00CA77D4">
        <w:rPr>
          <w:lang w:val="fr-CA"/>
        </w:rPr>
        <w:t> </w:t>
      </w:r>
      <w:r w:rsidRPr="00E55971">
        <w:rPr>
          <w:lang w:val="fr-CA"/>
        </w:rPr>
        <w:t>:</w:t>
      </w:r>
    </w:p>
    <w:p w14:paraId="287EF61C" w14:textId="2F1BDBE0" w:rsidR="0044032F" w:rsidRPr="00E55971" w:rsidRDefault="0044032F" w:rsidP="0044032F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E55971">
        <w:rPr>
          <w:lang w:val="fr-CA"/>
        </w:rPr>
        <w:t>Procédures de demande de substitution des conditions préalables et postérieures à l</w:t>
      </w:r>
      <w:r w:rsidR="00CA77D4">
        <w:rPr>
          <w:lang w:val="fr-CA"/>
        </w:rPr>
        <w:t>’</w:t>
      </w:r>
      <w:r w:rsidRPr="00E55971">
        <w:rPr>
          <w:lang w:val="fr-CA"/>
        </w:rPr>
        <w:t>appel d</w:t>
      </w:r>
      <w:r w:rsidR="00CA77D4">
        <w:rPr>
          <w:lang w:val="fr-CA"/>
        </w:rPr>
        <w:t>’</w:t>
      </w:r>
      <w:r w:rsidRPr="00E55971">
        <w:rPr>
          <w:lang w:val="fr-CA"/>
        </w:rPr>
        <w:t>offres</w:t>
      </w:r>
    </w:p>
    <w:p w14:paraId="29B44E10" w14:textId="77777777" w:rsidR="0044032F" w:rsidRPr="00E55971" w:rsidRDefault="0044032F" w:rsidP="0044032F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E55971">
        <w:rPr>
          <w:lang w:val="fr-CA"/>
        </w:rPr>
        <w:t>PRIX ET MODALITÉS DE PAIEMENT</w:t>
      </w:r>
    </w:p>
    <w:p w14:paraId="05239701" w14:textId="3F7419A8" w:rsidR="0044032F" w:rsidRPr="00E55971" w:rsidRDefault="0044032F" w:rsidP="0044032F">
      <w:pPr>
        <w:pStyle w:val="Heading2"/>
        <w:keepNext w:val="0"/>
        <w:keepLines w:val="0"/>
        <w:numPr>
          <w:ilvl w:val="1"/>
          <w:numId w:val="6"/>
        </w:numPr>
        <w:ind w:left="1080" w:hanging="360"/>
        <w:rPr>
          <w:lang w:val="fr-CA"/>
        </w:rPr>
      </w:pPr>
      <w:r w:rsidRPr="00E55971">
        <w:rPr>
          <w:lang w:val="fr-CA"/>
        </w:rPr>
        <w:t xml:space="preserve">Ce contrat est basé sur des normes de qualité pour tous les produits et matériaux </w:t>
      </w:r>
      <w:r w:rsidR="00CA77D4">
        <w:rPr>
          <w:lang w:val="fr-CA"/>
        </w:rPr>
        <w:t xml:space="preserve">comme </w:t>
      </w:r>
      <w:r w:rsidRPr="00E55971">
        <w:rPr>
          <w:lang w:val="fr-CA"/>
        </w:rPr>
        <w:t xml:space="preserve">établi dans les documents contractuels. Différents systèmes et produits ont été conçus pour </w:t>
      </w:r>
      <w:r w:rsidR="0036782C">
        <w:rPr>
          <w:lang w:val="fr-CA"/>
        </w:rPr>
        <w:t>opérer</w:t>
      </w:r>
      <w:r w:rsidRPr="00E55971">
        <w:rPr>
          <w:lang w:val="fr-CA"/>
        </w:rPr>
        <w:t xml:space="preserve"> ensemble et sont complémentaires. Des substitutions ou des changements non approuvés peuvent entraîner une performance inférieure du produit ou du système</w:t>
      </w:r>
      <w:r w:rsidR="00CA77D4">
        <w:rPr>
          <w:lang w:val="fr-CA"/>
        </w:rPr>
        <w:t>.</w:t>
      </w:r>
      <w:r w:rsidRPr="00E55971">
        <w:rPr>
          <w:lang w:val="fr-CA"/>
        </w:rPr>
        <w:t xml:space="preserve"> Les substitutions ne seront donc envisagées que sur la base suivante</w:t>
      </w:r>
      <w:r w:rsidR="00CA77D4">
        <w:rPr>
          <w:lang w:val="fr-CA"/>
        </w:rPr>
        <w:t> </w:t>
      </w:r>
      <w:r w:rsidRPr="00E55971">
        <w:rPr>
          <w:lang w:val="fr-CA"/>
        </w:rPr>
        <w:t xml:space="preserve">: </w:t>
      </w:r>
    </w:p>
    <w:p w14:paraId="4164B703" w14:textId="250D0CD1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szCs w:val="24"/>
          <w:lang w:val="fr-CA"/>
        </w:rPr>
      </w:pPr>
      <w:r w:rsidRPr="00E55971">
        <w:rPr>
          <w:szCs w:val="24"/>
          <w:lang w:val="fr-CA"/>
        </w:rPr>
        <w:t xml:space="preserve">Soumission préalable </w:t>
      </w:r>
      <w:r w:rsidR="00CA77D4">
        <w:rPr>
          <w:szCs w:val="24"/>
          <w:lang w:val="fr-CA"/>
        </w:rPr>
        <w:t xml:space="preserve">— </w:t>
      </w:r>
      <w:r w:rsidRPr="00E55971">
        <w:rPr>
          <w:szCs w:val="24"/>
          <w:lang w:val="fr-CA"/>
        </w:rPr>
        <w:t>Les substitutions ne seront pas prises en considération avant le processus d</w:t>
      </w:r>
      <w:r w:rsidR="00CA77D4">
        <w:rPr>
          <w:szCs w:val="24"/>
          <w:lang w:val="fr-CA"/>
        </w:rPr>
        <w:t>’</w:t>
      </w:r>
      <w:r w:rsidRPr="00E55971">
        <w:rPr>
          <w:szCs w:val="24"/>
          <w:lang w:val="fr-CA"/>
        </w:rPr>
        <w:t>appel d</w:t>
      </w:r>
      <w:r w:rsidR="00CA77D4">
        <w:rPr>
          <w:szCs w:val="24"/>
          <w:lang w:val="fr-CA"/>
        </w:rPr>
        <w:t>’</w:t>
      </w:r>
      <w:r w:rsidRPr="00E55971">
        <w:rPr>
          <w:szCs w:val="24"/>
          <w:lang w:val="fr-CA"/>
        </w:rPr>
        <w:t>offres de sous-traitance.</w:t>
      </w:r>
    </w:p>
    <w:p w14:paraId="4FCDCA07" w14:textId="335976E8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Après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appel d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offres </w:t>
      </w:r>
      <w:r w:rsidR="00CA77D4">
        <w:rPr>
          <w:rFonts w:ascii="CenturyGothic" w:hAnsi="CenturyGothic" w:cs="CenturyGothic"/>
          <w:lang w:val="fr-CA"/>
        </w:rPr>
        <w:t xml:space="preserve">— </w:t>
      </w:r>
      <w:r w:rsidRPr="00E55971">
        <w:rPr>
          <w:rFonts w:ascii="CenturyGothic" w:hAnsi="CenturyGothic" w:cs="CenturyGothic"/>
          <w:lang w:val="fr-CA"/>
        </w:rPr>
        <w:t>Les substitutions ne seront prises en considération qu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après la signature du contrat de sous-traitance </w:t>
      </w:r>
      <w:r w:rsidRPr="00E55971">
        <w:rPr>
          <w:rFonts w:ascii="CenturyGothic" w:hAnsi="CenturyGothic" w:cs="CenturyGothic"/>
          <w:i/>
          <w:lang w:val="fr-CA"/>
        </w:rPr>
        <w:t>si l</w:t>
      </w:r>
      <w:r w:rsidR="00CA77D4">
        <w:rPr>
          <w:rFonts w:ascii="CenturyGothic" w:hAnsi="CenturyGothic" w:cs="CenturyGothic"/>
          <w:i/>
          <w:lang w:val="fr-CA"/>
        </w:rPr>
        <w:t>’</w:t>
      </w:r>
      <w:r w:rsidRPr="00E55971">
        <w:rPr>
          <w:rFonts w:ascii="CenturyGothic" w:hAnsi="CenturyGothic" w:cs="CenturyGothic"/>
          <w:i/>
          <w:lang w:val="fr-CA"/>
        </w:rPr>
        <w:t>un ou l</w:t>
      </w:r>
      <w:r w:rsidR="00CA77D4">
        <w:rPr>
          <w:rFonts w:ascii="CenturyGothic" w:hAnsi="CenturyGothic" w:cs="CenturyGothic"/>
          <w:i/>
          <w:lang w:val="fr-CA"/>
        </w:rPr>
        <w:t>’</w:t>
      </w:r>
      <w:r w:rsidRPr="00E55971">
        <w:rPr>
          <w:rFonts w:ascii="CenturyGothic" w:hAnsi="CenturyGothic" w:cs="CenturyGothic"/>
          <w:i/>
          <w:lang w:val="fr-CA"/>
        </w:rPr>
        <w:t>autre des éléments suivants est applicable</w:t>
      </w:r>
      <w:r w:rsidR="00CA77D4">
        <w:rPr>
          <w:rFonts w:ascii="CenturyGothic" w:hAnsi="CenturyGothic" w:cs="CenturyGothic"/>
          <w:i/>
          <w:lang w:val="fr-CA"/>
        </w:rPr>
        <w:t> </w:t>
      </w:r>
      <w:r w:rsidRPr="00E55971">
        <w:rPr>
          <w:rFonts w:ascii="CenturyGothic" w:hAnsi="CenturyGothic" w:cs="CenturyGothic"/>
          <w:i/>
          <w:lang w:val="fr-CA"/>
        </w:rPr>
        <w:t>:</w:t>
      </w:r>
    </w:p>
    <w:p w14:paraId="24CC4383" w14:textId="729F313D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52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Le produit n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est plus disponible dans le commerce ou </w:t>
      </w:r>
      <w:r w:rsidRPr="00E55971">
        <w:rPr>
          <w:rFonts w:ascii="CenturyGothic" w:hAnsi="CenturyGothic" w:cs="CenturyGothic"/>
          <w:i/>
          <w:lang w:val="fr-CA"/>
        </w:rPr>
        <w:t xml:space="preserve">si les conditions </w:t>
      </w:r>
      <w:proofErr w:type="gramStart"/>
      <w:r w:rsidRPr="00E55971">
        <w:rPr>
          <w:rFonts w:ascii="CenturyGothic" w:hAnsi="CenturyGothic" w:cs="CenturyGothic"/>
          <w:i/>
          <w:lang w:val="fr-CA"/>
        </w:rPr>
        <w:t>sur</w:t>
      </w:r>
      <w:proofErr w:type="gramEnd"/>
      <w:r w:rsidRPr="00E55971">
        <w:rPr>
          <w:rFonts w:ascii="CenturyGothic" w:hAnsi="CenturyGothic" w:cs="CenturyGothic"/>
          <w:i/>
          <w:lang w:val="fr-CA"/>
        </w:rPr>
        <w:t xml:space="preserve"> le</w:t>
      </w:r>
      <w:r w:rsidRPr="00E55971">
        <w:rPr>
          <w:rFonts w:ascii="CenturyGothic" w:hAnsi="CenturyGothic" w:cs="CenturyGothic"/>
          <w:lang w:val="fr-CA"/>
        </w:rPr>
        <w:t xml:space="preserve"> </w:t>
      </w:r>
      <w:r w:rsidRPr="0036782C">
        <w:rPr>
          <w:rFonts w:ascii="CenturyGothic" w:hAnsi="CenturyGothic" w:cs="CenturyGothic"/>
          <w:i/>
          <w:lang w:val="fr-CA"/>
        </w:rPr>
        <w:t>terrain ont changé</w:t>
      </w:r>
      <w:r w:rsidRPr="00E55971">
        <w:rPr>
          <w:rFonts w:ascii="CenturyGothic" w:hAnsi="CenturyGothic" w:cs="CenturyGothic"/>
          <w:lang w:val="fr-CA"/>
        </w:rPr>
        <w:t xml:space="preserve"> ou ne sont plus reflétées avec précision dans les plans et les spécifications. La nécessité d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importer dans le pays un produit qui est inclus dans les plans et devis (les documents du contrat de sous-traitance) ne constitue pas une justification pour demander une substitution. </w:t>
      </w:r>
    </w:p>
    <w:p w14:paraId="4B46D1AE" w14:textId="0A33669F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52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Les substitutions de produits sont explicitement autorisées dans les sections des spécifications individuelles, comme décrit</w:t>
      </w:r>
      <w:r w:rsidR="00CA77D4">
        <w:rPr>
          <w:rFonts w:ascii="CenturyGothic" w:hAnsi="CenturyGothic" w:cs="CenturyGothic"/>
          <w:lang w:val="fr-CA"/>
        </w:rPr>
        <w:t>es</w:t>
      </w:r>
      <w:r w:rsidRPr="00E55971">
        <w:rPr>
          <w:rFonts w:ascii="CenturyGothic" w:hAnsi="CenturyGothic" w:cs="CenturyGothic"/>
          <w:lang w:val="fr-CA"/>
        </w:rPr>
        <w:t xml:space="preserve"> à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article</w:t>
      </w:r>
      <w:r w:rsidR="00CA77D4">
        <w:rPr>
          <w:rFonts w:ascii="CenturyGothic" w:hAnsi="CenturyGothic" w:cs="CenturyGothic"/>
          <w:lang w:val="fr-CA"/>
        </w:rPr>
        <w:t> </w:t>
      </w:r>
      <w:r w:rsidRPr="00E55971">
        <w:rPr>
          <w:rFonts w:ascii="CenturyGothic" w:hAnsi="CenturyGothic" w:cs="CenturyGothic"/>
          <w:lang w:val="fr-CA"/>
        </w:rPr>
        <w:t>1.2.B ci-dessous. De telles substitutions, si elles sont approuvées par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Ingénieur et le Client, sont considérées comme des modifications au Contrat de sous-traitance sans frais.</w:t>
      </w:r>
    </w:p>
    <w:p w14:paraId="76E6D8EC" w14:textId="490933DD" w:rsidR="0044032F" w:rsidRPr="00E55971" w:rsidRDefault="0044032F" w:rsidP="0044032F">
      <w:pPr>
        <w:pStyle w:val="Heading2"/>
        <w:keepNext w:val="0"/>
        <w:keepLines w:val="0"/>
        <w:numPr>
          <w:ilvl w:val="1"/>
          <w:numId w:val="6"/>
        </w:numPr>
        <w:ind w:left="1080" w:hanging="360"/>
        <w:rPr>
          <w:lang w:val="fr-CA"/>
        </w:rPr>
      </w:pPr>
      <w:r w:rsidRPr="00E55971">
        <w:rPr>
          <w:lang w:val="fr-CA"/>
        </w:rPr>
        <w:t xml:space="preserve">Options de produits </w:t>
      </w:r>
      <w:r w:rsidR="00CA77D4">
        <w:rPr>
          <w:lang w:val="fr-CA"/>
        </w:rPr>
        <w:t>—</w:t>
      </w:r>
      <w:r w:rsidRPr="00E55971">
        <w:rPr>
          <w:lang w:val="fr-CA"/>
        </w:rPr>
        <w:t xml:space="preserve"> Chaque fois qu</w:t>
      </w:r>
      <w:r w:rsidR="00CA77D4">
        <w:rPr>
          <w:lang w:val="fr-CA"/>
        </w:rPr>
        <w:t>’</w:t>
      </w:r>
      <w:r w:rsidRPr="00E55971">
        <w:rPr>
          <w:lang w:val="fr-CA"/>
        </w:rPr>
        <w:t>un ou plusieurs produits ou systèmes sont spécifiés en utilisant un nom de marque déposée ou le nom d</w:t>
      </w:r>
      <w:r w:rsidR="00CA77D4">
        <w:rPr>
          <w:lang w:val="fr-CA"/>
        </w:rPr>
        <w:t>’</w:t>
      </w:r>
      <w:r w:rsidRPr="00E55971">
        <w:rPr>
          <w:lang w:val="fr-CA"/>
        </w:rPr>
        <w:t>un fabricant ou d</w:t>
      </w:r>
      <w:r w:rsidR="00CA77D4">
        <w:rPr>
          <w:lang w:val="fr-CA"/>
        </w:rPr>
        <w:t>’</w:t>
      </w:r>
      <w:r w:rsidRPr="00E55971">
        <w:rPr>
          <w:lang w:val="fr-CA"/>
        </w:rPr>
        <w:t>un fournisseur particulier, l</w:t>
      </w:r>
      <w:r w:rsidR="00CA77D4">
        <w:rPr>
          <w:lang w:val="fr-CA"/>
        </w:rPr>
        <w:t>’</w:t>
      </w:r>
      <w:r w:rsidRPr="00E55971">
        <w:rPr>
          <w:lang w:val="fr-CA"/>
        </w:rPr>
        <w:t>élément spécifique mentionné doit être compris comme établissant le type, la fonction, la dimension, l</w:t>
      </w:r>
      <w:r w:rsidR="00CA77D4">
        <w:rPr>
          <w:lang w:val="fr-CA"/>
        </w:rPr>
        <w:t>’</w:t>
      </w:r>
      <w:r w:rsidRPr="00E55971">
        <w:rPr>
          <w:lang w:val="fr-CA"/>
        </w:rPr>
        <w:t>apparence et la qualité désirés. Les produits ou systèmes d</w:t>
      </w:r>
      <w:r w:rsidR="00CA77D4">
        <w:rPr>
          <w:lang w:val="fr-CA"/>
        </w:rPr>
        <w:t>’</w:t>
      </w:r>
      <w:r w:rsidRPr="00E55971">
        <w:rPr>
          <w:lang w:val="fr-CA"/>
        </w:rPr>
        <w:t xml:space="preserve">autres fabricants, </w:t>
      </w:r>
      <w:r w:rsidRPr="00E55971">
        <w:rPr>
          <w:i/>
          <w:lang w:val="fr-CA"/>
        </w:rPr>
        <w:t xml:space="preserve">pourraient </w:t>
      </w:r>
      <w:r w:rsidRPr="00E55971">
        <w:rPr>
          <w:lang w:val="fr-CA"/>
        </w:rPr>
        <w:t xml:space="preserve">être acceptés à </w:t>
      </w:r>
      <w:r w:rsidRPr="00E55971">
        <w:rPr>
          <w:lang w:val="fr-CA"/>
        </w:rPr>
        <w:lastRenderedPageBreak/>
        <w:t>titre de modification sans frais, à condition que suffisamment d</w:t>
      </w:r>
      <w:r w:rsidR="00CA77D4">
        <w:rPr>
          <w:lang w:val="fr-CA"/>
        </w:rPr>
        <w:t>’</w:t>
      </w:r>
      <w:r w:rsidRPr="00E55971">
        <w:rPr>
          <w:lang w:val="fr-CA"/>
        </w:rPr>
        <w:t>information soit soumise pour permettre à l</w:t>
      </w:r>
      <w:r w:rsidR="00CA77D4">
        <w:rPr>
          <w:lang w:val="fr-CA"/>
        </w:rPr>
        <w:t>’</w:t>
      </w:r>
      <w:r w:rsidRPr="00E55971">
        <w:rPr>
          <w:lang w:val="fr-CA"/>
        </w:rPr>
        <w:t xml:space="preserve">Ingénieur de déterminer que les produits proposés sont équivalents à ceux nommés, </w:t>
      </w:r>
      <w:r w:rsidRPr="00E55971">
        <w:rPr>
          <w:i/>
          <w:lang w:val="fr-CA"/>
        </w:rPr>
        <w:t xml:space="preserve">en conformité </w:t>
      </w:r>
      <w:r w:rsidRPr="00E55971">
        <w:rPr>
          <w:lang w:val="fr-CA"/>
        </w:rPr>
        <w:t>avec les cas suivants</w:t>
      </w:r>
      <w:r w:rsidR="00CA77D4">
        <w:rPr>
          <w:lang w:val="fr-CA"/>
        </w:rPr>
        <w:t> </w:t>
      </w:r>
      <w:r w:rsidRPr="00E55971">
        <w:rPr>
          <w:lang w:val="fr-CA"/>
        </w:rPr>
        <w:t xml:space="preserve">: </w:t>
      </w:r>
    </w:p>
    <w:p w14:paraId="111CD856" w14:textId="02A2F973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Pour les produits ou systèmes spécifiés en nommant un ou plusieurs produits ou fabricants comparables,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un des produits ou fabricants nommés peut être sélectionné. Lorsque les termes </w:t>
      </w:r>
      <w:r w:rsidR="00CA77D4">
        <w:rPr>
          <w:rFonts w:ascii="CenturyGothic" w:hAnsi="CenturyGothic" w:cs="CenturyGothic"/>
          <w:lang w:val="fr-CA"/>
        </w:rPr>
        <w:t>« </w:t>
      </w:r>
      <w:r w:rsidRPr="00E55971">
        <w:rPr>
          <w:rFonts w:ascii="CenturyGothic" w:hAnsi="CenturyGothic" w:cs="CenturyGothic"/>
          <w:lang w:val="fr-CA"/>
        </w:rPr>
        <w:t>substitutions</w:t>
      </w:r>
      <w:r w:rsidR="00CA77D4">
        <w:rPr>
          <w:rFonts w:ascii="CenturyGothic" w:hAnsi="CenturyGothic" w:cs="CenturyGothic"/>
          <w:lang w:val="fr-CA"/>
        </w:rPr>
        <w:t> »</w:t>
      </w:r>
      <w:r w:rsidRPr="00E55971">
        <w:rPr>
          <w:rFonts w:ascii="CenturyGothic" w:hAnsi="CenturyGothic" w:cs="CenturyGothic"/>
          <w:lang w:val="fr-CA"/>
        </w:rPr>
        <w:t xml:space="preserve">, </w:t>
      </w:r>
      <w:r w:rsidR="00CA77D4">
        <w:rPr>
          <w:rFonts w:ascii="CenturyGothic" w:hAnsi="CenturyGothic" w:cs="CenturyGothic"/>
          <w:lang w:val="fr-CA"/>
        </w:rPr>
        <w:t>« </w:t>
      </w:r>
      <w:r w:rsidRPr="00E55971">
        <w:rPr>
          <w:rFonts w:ascii="CenturyGothic" w:hAnsi="CenturyGothic" w:cs="CenturyGothic"/>
          <w:lang w:val="fr-CA"/>
        </w:rPr>
        <w:t>Ou égal</w:t>
      </w:r>
      <w:r w:rsidR="00CA77D4">
        <w:rPr>
          <w:rFonts w:ascii="CenturyGothic" w:hAnsi="CenturyGothic" w:cs="CenturyGothic"/>
          <w:lang w:val="fr-CA"/>
        </w:rPr>
        <w:t> »</w:t>
      </w:r>
      <w:r w:rsidRPr="00E55971">
        <w:rPr>
          <w:rFonts w:ascii="CenturyGothic" w:hAnsi="CenturyGothic" w:cs="CenturyGothic"/>
          <w:lang w:val="fr-CA"/>
        </w:rPr>
        <w:t xml:space="preserve"> ou connotations similaires </w:t>
      </w:r>
      <w:bookmarkStart w:id="2" w:name="_Hlk5032038"/>
      <w:r w:rsidR="00E155CC" w:rsidRPr="00E155CC">
        <w:rPr>
          <w:rFonts w:ascii="CenturyGothic" w:hAnsi="CenturyGothic" w:cs="CenturyGothic"/>
          <w:i/>
          <w:lang w:val="fr-CA"/>
        </w:rPr>
        <w:t xml:space="preserve">ne sont </w:t>
      </w:r>
      <w:r w:rsidRPr="00E155CC">
        <w:rPr>
          <w:rFonts w:ascii="CenturyGothic" w:hAnsi="CenturyGothic" w:cs="CenturyGothic"/>
          <w:i/>
          <w:lang w:val="fr-CA"/>
        </w:rPr>
        <w:t>pas</w:t>
      </w:r>
      <w:r w:rsidR="00E155CC" w:rsidRPr="00E155CC">
        <w:rPr>
          <w:rFonts w:ascii="CenturyGothic" w:hAnsi="CenturyGothic" w:cs="CenturyGothic"/>
          <w:i/>
          <w:lang w:val="fr-CA"/>
        </w:rPr>
        <w:t xml:space="preserve"> indiquées</w:t>
      </w:r>
      <w:r w:rsidRPr="00E55971">
        <w:rPr>
          <w:rFonts w:ascii="CenturyGothic" w:hAnsi="CenturyGothic" w:cs="CenturyGothic"/>
          <w:i/>
          <w:lang w:val="fr-CA"/>
        </w:rPr>
        <w:t xml:space="preserve">, </w:t>
      </w:r>
      <w:r w:rsidR="00726498" w:rsidRPr="00726498">
        <w:rPr>
          <w:rFonts w:ascii="CenturyGothic" w:hAnsi="CenturyGothic" w:cs="CenturyGothic"/>
          <w:lang w:val="fr-CA"/>
        </w:rPr>
        <w:t>aucun autre fabricant, produit ou système ne sera considéré</w:t>
      </w:r>
      <w:r w:rsidRPr="00E55971">
        <w:rPr>
          <w:rFonts w:ascii="CenturyGothic" w:hAnsi="CenturyGothic" w:cs="CenturyGothic"/>
          <w:lang w:val="fr-CA"/>
        </w:rPr>
        <w:t>.</w:t>
      </w:r>
    </w:p>
    <w:bookmarkEnd w:id="2"/>
    <w:p w14:paraId="1AA425CC" w14:textId="01B68ADC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Pour les produits ou systèmes spécifiés en nommant un ou plusieurs produits ou fabricants comparables,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un des produits ou fabricants nommés peut être sélectionné. Lorsque les termes «</w:t>
      </w:r>
      <w:r w:rsidR="00CA77D4">
        <w:rPr>
          <w:rFonts w:ascii="CenturyGothic" w:hAnsi="CenturyGothic" w:cs="CenturyGothic"/>
          <w:lang w:val="fr-CA"/>
        </w:rPr>
        <w:t> </w:t>
      </w:r>
      <w:r w:rsidRPr="00E55971">
        <w:rPr>
          <w:rFonts w:ascii="CenturyGothic" w:hAnsi="CenturyGothic" w:cs="CenturyGothic"/>
          <w:lang w:val="fr-CA"/>
        </w:rPr>
        <w:t>substitutions</w:t>
      </w:r>
      <w:r w:rsidR="00CA77D4">
        <w:rPr>
          <w:rFonts w:ascii="CenturyGothic" w:hAnsi="CenturyGothic" w:cs="CenturyGothic"/>
          <w:lang w:val="fr-CA"/>
        </w:rPr>
        <w:t> </w:t>
      </w:r>
      <w:r w:rsidRPr="00E55971">
        <w:rPr>
          <w:rFonts w:ascii="CenturyGothic" w:hAnsi="CenturyGothic" w:cs="CenturyGothic"/>
          <w:lang w:val="fr-CA"/>
        </w:rPr>
        <w:t>», «</w:t>
      </w:r>
      <w:r w:rsidR="00CA77D4">
        <w:rPr>
          <w:rFonts w:ascii="CenturyGothic" w:hAnsi="CenturyGothic" w:cs="CenturyGothic"/>
          <w:lang w:val="fr-CA"/>
        </w:rPr>
        <w:t> </w:t>
      </w:r>
      <w:r w:rsidRPr="00E55971">
        <w:rPr>
          <w:rFonts w:ascii="CenturyGothic" w:hAnsi="CenturyGothic" w:cs="CenturyGothic"/>
          <w:lang w:val="fr-CA"/>
        </w:rPr>
        <w:t>Ou égal</w:t>
      </w:r>
      <w:r w:rsidR="00CA77D4">
        <w:rPr>
          <w:rFonts w:ascii="CenturyGothic" w:hAnsi="CenturyGothic" w:cs="CenturyGothic"/>
          <w:lang w:val="fr-CA"/>
        </w:rPr>
        <w:t> </w:t>
      </w:r>
      <w:r w:rsidRPr="00E55971">
        <w:rPr>
          <w:rFonts w:ascii="CenturyGothic" w:hAnsi="CenturyGothic" w:cs="CenturyGothic"/>
          <w:lang w:val="fr-CA"/>
        </w:rPr>
        <w:t xml:space="preserve">» ou connotations similaires </w:t>
      </w:r>
      <w:r w:rsidR="00297F7D">
        <w:rPr>
          <w:rFonts w:ascii="CenturyGothic" w:hAnsi="CenturyGothic" w:cs="CenturyGothic"/>
          <w:i/>
          <w:lang w:val="fr-CA"/>
        </w:rPr>
        <w:t>sont</w:t>
      </w:r>
      <w:r w:rsidR="008B4557">
        <w:rPr>
          <w:rFonts w:ascii="CenturyGothic" w:hAnsi="CenturyGothic" w:cs="CenturyGothic"/>
          <w:i/>
          <w:lang w:val="fr-CA"/>
        </w:rPr>
        <w:t xml:space="preserve"> indiquées</w:t>
      </w:r>
      <w:r w:rsidRPr="00E55971">
        <w:rPr>
          <w:rFonts w:ascii="CenturyGothic" w:hAnsi="CenturyGothic" w:cs="CenturyGothic"/>
          <w:lang w:val="fr-CA"/>
        </w:rPr>
        <w:t>, des substitutions peuvent être envisagées pour les produits, fabricants ou systèmes énumérés, conformément à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article</w:t>
      </w:r>
      <w:r w:rsidR="00CA77D4">
        <w:rPr>
          <w:rFonts w:ascii="CenturyGothic" w:hAnsi="CenturyGothic" w:cs="CenturyGothic"/>
          <w:lang w:val="fr-CA"/>
        </w:rPr>
        <w:t> </w:t>
      </w:r>
      <w:r w:rsidRPr="00E55971">
        <w:rPr>
          <w:rFonts w:ascii="CenturyGothic" w:hAnsi="CenturyGothic" w:cs="CenturyGothic"/>
          <w:lang w:val="fr-CA"/>
        </w:rPr>
        <w:t xml:space="preserve">1.2.C ci-après. </w:t>
      </w:r>
    </w:p>
    <w:p w14:paraId="264AD2AF" w14:textId="77777777" w:rsidR="0044032F" w:rsidRPr="00E55971" w:rsidRDefault="0044032F" w:rsidP="0044032F">
      <w:pPr>
        <w:pStyle w:val="Heading2"/>
        <w:keepNext w:val="0"/>
        <w:keepLines w:val="0"/>
        <w:numPr>
          <w:ilvl w:val="1"/>
          <w:numId w:val="6"/>
        </w:numPr>
        <w:ind w:left="1080" w:hanging="360"/>
        <w:rPr>
          <w:lang w:val="fr-CA"/>
        </w:rPr>
      </w:pPr>
      <w:r w:rsidRPr="00E55971">
        <w:rPr>
          <w:lang w:val="fr-CA"/>
        </w:rPr>
        <w:t>Substitutions</w:t>
      </w:r>
    </w:p>
    <w:p w14:paraId="1F8159AB" w14:textId="6B4B3953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Les demandes de substitution doivent être faites en temps opportun et portées à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attention de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Ingénieur par écrit. Le non-respect des délais indiqués ci-dessous constitue un motif de rejet de la demande. </w:t>
      </w:r>
    </w:p>
    <w:p w14:paraId="4059C3A5" w14:textId="658415D1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Les demandes de substitution doivent parvenir au bureau de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ingénieur au moins 30</w:t>
      </w:r>
      <w:r w:rsidR="00CA77D4">
        <w:rPr>
          <w:rFonts w:cs="CenturyGothic"/>
          <w:lang w:val="fr-CA"/>
        </w:rPr>
        <w:t> </w:t>
      </w:r>
      <w:r w:rsidRPr="00E55971">
        <w:rPr>
          <w:rFonts w:cs="CenturyGothic"/>
          <w:lang w:val="fr-CA"/>
        </w:rPr>
        <w:t>jours avant la date d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approbation de la demande. Si un calendrier de soumission n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est pas disponible, le sous-traitant doit inscrire cette date dans sa demande. Le sous-traitant a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obligation de présenter la demande de substitution en temps opportun.  </w:t>
      </w:r>
    </w:p>
    <w:p w14:paraId="4EB37891" w14:textId="348D2D65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Les substitutions seront considérées strictement selon les critères énoncés aux articles</w:t>
      </w:r>
      <w:r w:rsidR="00CA77D4">
        <w:rPr>
          <w:rFonts w:cs="CenturyGothic"/>
          <w:lang w:val="fr-CA"/>
        </w:rPr>
        <w:t> </w:t>
      </w:r>
      <w:r w:rsidRPr="00E55971">
        <w:rPr>
          <w:rFonts w:cs="CenturyGothic"/>
          <w:lang w:val="fr-CA"/>
        </w:rPr>
        <w:t>1.2.A.2 et 1.2.B. Le sous-traitant doit demander et fournir à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Ingénieur la raison de la substitution, en décrivant en détail la cause de la substitution demandée et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article, le matériau ou le système proposé.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information doit comprendre tout rajustement apporté à ce travail ou à d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autres travaux touchés et doit indiquer le crédit ou la variation du prix unitaire en cause. </w:t>
      </w:r>
      <w:r w:rsidR="0036782C">
        <w:rPr>
          <w:rFonts w:cs="CenturyGothic"/>
          <w:lang w:val="fr-CA"/>
        </w:rPr>
        <w:t>Les</w:t>
      </w:r>
      <w:r w:rsidRPr="00E55971">
        <w:rPr>
          <w:rFonts w:cs="CenturyGothic"/>
          <w:lang w:val="fr-CA"/>
        </w:rPr>
        <w:t xml:space="preserve"> échantillons demandés</w:t>
      </w:r>
      <w:r w:rsidR="0036782C">
        <w:rPr>
          <w:rFonts w:cs="CenturyGothic"/>
          <w:lang w:val="fr-CA"/>
        </w:rPr>
        <w:t xml:space="preserve"> doivent être fournis</w:t>
      </w:r>
      <w:r w:rsidRPr="00E55971">
        <w:rPr>
          <w:rFonts w:cs="CenturyGothic"/>
          <w:lang w:val="fr-CA"/>
        </w:rPr>
        <w:t>. Les demandes de substitution doivent</w:t>
      </w:r>
      <w:r w:rsidR="00CE51E1">
        <w:rPr>
          <w:rFonts w:cs="CenturyGothic"/>
          <w:lang w:val="fr-CA"/>
        </w:rPr>
        <w:t xml:space="preserve"> inclure</w:t>
      </w:r>
      <w:r w:rsidR="00CA77D4">
        <w:rPr>
          <w:rFonts w:cs="CenturyGothic"/>
          <w:lang w:val="fr-CA"/>
        </w:rPr>
        <w:t> </w:t>
      </w:r>
      <w:r w:rsidRPr="00E55971">
        <w:rPr>
          <w:rFonts w:cs="CenturyGothic"/>
          <w:lang w:val="fr-CA"/>
        </w:rPr>
        <w:t xml:space="preserve">: </w:t>
      </w:r>
    </w:p>
    <w:p w14:paraId="56253488" w14:textId="7E37F03F" w:rsidR="0044032F" w:rsidRPr="00E55971" w:rsidRDefault="00873D5E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Une note</w:t>
      </w:r>
      <w:r w:rsidR="0044032F" w:rsidRPr="00E55971">
        <w:rPr>
          <w:rFonts w:cs="CenturyGothic"/>
          <w:lang w:val="fr-CA"/>
        </w:rPr>
        <w:t xml:space="preserve"> à l</w:t>
      </w:r>
      <w:r w:rsidR="00CA77D4">
        <w:rPr>
          <w:rFonts w:cs="CenturyGothic"/>
          <w:lang w:val="fr-CA"/>
        </w:rPr>
        <w:t>’</w:t>
      </w:r>
      <w:r w:rsidR="0044032F" w:rsidRPr="00E55971">
        <w:rPr>
          <w:rFonts w:cs="CenturyGothic"/>
          <w:lang w:val="fr-CA"/>
        </w:rPr>
        <w:t>attention de l</w:t>
      </w:r>
      <w:r w:rsidR="00CA77D4">
        <w:rPr>
          <w:rFonts w:cs="CenturyGothic"/>
          <w:lang w:val="fr-CA"/>
        </w:rPr>
        <w:t>’</w:t>
      </w:r>
      <w:r w:rsidR="0044032F" w:rsidRPr="00E55971">
        <w:rPr>
          <w:rFonts w:cs="CenturyGothic"/>
          <w:lang w:val="fr-CA"/>
        </w:rPr>
        <w:t xml:space="preserve">ingénieur </w:t>
      </w:r>
      <w:r>
        <w:rPr>
          <w:rFonts w:cs="CenturyGothic"/>
          <w:lang w:val="fr-CA"/>
        </w:rPr>
        <w:t xml:space="preserve">de </w:t>
      </w:r>
      <w:r w:rsidR="0044032F" w:rsidRPr="00E55971">
        <w:rPr>
          <w:rFonts w:cs="CenturyGothic"/>
          <w:lang w:val="fr-CA"/>
        </w:rPr>
        <w:t>tout écart connu par rapport au produit d</w:t>
      </w:r>
      <w:r w:rsidR="00CA77D4">
        <w:rPr>
          <w:rFonts w:cs="CenturyGothic"/>
          <w:lang w:val="fr-CA"/>
        </w:rPr>
        <w:t>’</w:t>
      </w:r>
      <w:r w:rsidR="0044032F" w:rsidRPr="00E55971">
        <w:rPr>
          <w:rFonts w:cs="CenturyGothic"/>
          <w:lang w:val="fr-CA"/>
        </w:rPr>
        <w:t>origine spécifié.</w:t>
      </w:r>
    </w:p>
    <w:p w14:paraId="6C5D27C9" w14:textId="0E853EE1" w:rsidR="0044032F" w:rsidRPr="00E55971" w:rsidRDefault="00873D5E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L’i</w:t>
      </w:r>
      <w:r w:rsidR="0044032F" w:rsidRPr="00E55971">
        <w:rPr>
          <w:rFonts w:cs="CenturyGothic"/>
          <w:lang w:val="fr-CA"/>
        </w:rPr>
        <w:t xml:space="preserve">dentification du produit et nom et adresse du fabricant. </w:t>
      </w:r>
    </w:p>
    <w:p w14:paraId="4CCC36D1" w14:textId="31FC0F23" w:rsidR="0044032F" w:rsidRPr="00E55971" w:rsidRDefault="00873D5E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La d</w:t>
      </w:r>
      <w:r w:rsidR="0044032F" w:rsidRPr="00E55971">
        <w:rPr>
          <w:rFonts w:cs="CenturyGothic"/>
          <w:lang w:val="fr-CA"/>
        </w:rPr>
        <w:t xml:space="preserve">ocumentation descriptive du fabricant, données sur le rendement et les essais, et </w:t>
      </w:r>
      <w:r w:rsidR="007612CF">
        <w:rPr>
          <w:rFonts w:cs="CenturyGothic"/>
          <w:lang w:val="fr-CA"/>
        </w:rPr>
        <w:t xml:space="preserve">les </w:t>
      </w:r>
      <w:r w:rsidR="0044032F" w:rsidRPr="00E55971">
        <w:rPr>
          <w:rFonts w:cs="CenturyGothic"/>
          <w:lang w:val="fr-CA"/>
        </w:rPr>
        <w:t xml:space="preserve">normes de référence. </w:t>
      </w:r>
    </w:p>
    <w:p w14:paraId="515FBFE0" w14:textId="156D5A94" w:rsidR="0044032F" w:rsidRPr="00E55971" w:rsidRDefault="00873D5E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La c</w:t>
      </w:r>
      <w:r w:rsidR="0044032F" w:rsidRPr="00E55971">
        <w:rPr>
          <w:rFonts w:cs="CenturyGothic"/>
          <w:lang w:val="fr-CA"/>
        </w:rPr>
        <w:t>omparaison détaillée de la substitution proposée avec le produit ou la méthode spécifié</w:t>
      </w:r>
      <w:r w:rsidR="00CA77D4">
        <w:rPr>
          <w:rFonts w:cs="CenturyGothic"/>
          <w:lang w:val="fr-CA"/>
        </w:rPr>
        <w:t>s</w:t>
      </w:r>
      <w:r w:rsidR="0044032F" w:rsidRPr="00E55971">
        <w:rPr>
          <w:rFonts w:cs="CenturyGothic"/>
          <w:lang w:val="fr-CA"/>
        </w:rPr>
        <w:t xml:space="preserve">. </w:t>
      </w:r>
    </w:p>
    <w:p w14:paraId="6150C6F2" w14:textId="64F658AE" w:rsidR="0044032F" w:rsidRPr="00E55971" w:rsidRDefault="007612C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lastRenderedPageBreak/>
        <w:t>Les d</w:t>
      </w:r>
      <w:r w:rsidR="0044032F" w:rsidRPr="00E55971">
        <w:rPr>
          <w:rFonts w:cs="CenturyGothic"/>
          <w:lang w:val="fr-CA"/>
        </w:rPr>
        <w:t xml:space="preserve">onnées précises sur les coûts de substitution proposés par rapport au produit ou à la méthode spécifiés. </w:t>
      </w:r>
    </w:p>
    <w:p w14:paraId="72ED1232" w14:textId="276ABC50" w:rsidR="0044032F" w:rsidRPr="00E55971" w:rsidRDefault="007612C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Les d</w:t>
      </w:r>
      <w:r w:rsidR="0044032F" w:rsidRPr="00E55971">
        <w:rPr>
          <w:rFonts w:cs="CenturyGothic"/>
          <w:lang w:val="fr-CA"/>
        </w:rPr>
        <w:t xml:space="preserve">onnées relatives aux modifications du calendrier de construction. </w:t>
      </w:r>
    </w:p>
    <w:p w14:paraId="0BDFF1AB" w14:textId="14D4BCCF" w:rsidR="0044032F" w:rsidRPr="00E55971" w:rsidRDefault="007612C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La r</w:t>
      </w:r>
      <w:r w:rsidR="0044032F" w:rsidRPr="00E55971">
        <w:rPr>
          <w:rFonts w:cs="CenturyGothic"/>
          <w:lang w:val="fr-CA"/>
        </w:rPr>
        <w:t>elation avec la compatibilité de l</w:t>
      </w:r>
      <w:r w:rsidR="00CA77D4">
        <w:rPr>
          <w:rFonts w:cs="CenturyGothic"/>
          <w:lang w:val="fr-CA"/>
        </w:rPr>
        <w:t>’</w:t>
      </w:r>
      <w:r w:rsidR="0044032F" w:rsidRPr="00E55971">
        <w:rPr>
          <w:rFonts w:cs="CenturyGothic"/>
          <w:lang w:val="fr-CA"/>
        </w:rPr>
        <w:t xml:space="preserve">installation. </w:t>
      </w:r>
    </w:p>
    <w:p w14:paraId="2946D702" w14:textId="11AE037F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lang w:val="fr-CA"/>
        </w:rPr>
      </w:pPr>
      <w:r w:rsidRPr="00E55971">
        <w:rPr>
          <w:lang w:val="fr-CA"/>
        </w:rPr>
        <w:t>L</w:t>
      </w:r>
      <w:r w:rsidR="00CA77D4">
        <w:rPr>
          <w:lang w:val="fr-CA"/>
        </w:rPr>
        <w:t>’</w:t>
      </w:r>
      <w:r w:rsidRPr="00E55971">
        <w:rPr>
          <w:lang w:val="fr-CA"/>
        </w:rPr>
        <w:t>Ingénieur déterminera l</w:t>
      </w:r>
      <w:r w:rsidR="00CA77D4">
        <w:rPr>
          <w:lang w:val="fr-CA"/>
        </w:rPr>
        <w:t>’</w:t>
      </w:r>
      <w:r w:rsidRPr="00E55971">
        <w:rPr>
          <w:lang w:val="fr-CA"/>
        </w:rPr>
        <w:t>acceptabilité de la substitution proposée et avisera le Sous-traitant de l</w:t>
      </w:r>
      <w:r w:rsidR="00CA77D4">
        <w:rPr>
          <w:lang w:val="fr-CA"/>
        </w:rPr>
        <w:t>’</w:t>
      </w:r>
      <w:r w:rsidRPr="00E55971">
        <w:rPr>
          <w:lang w:val="fr-CA"/>
        </w:rPr>
        <w:t xml:space="preserve">acceptation ou du rejet par écrit dans un délai raisonnable. Une seule demande de substitution </w:t>
      </w:r>
      <w:r w:rsidR="00E84442">
        <w:rPr>
          <w:lang w:val="fr-CA"/>
        </w:rPr>
        <w:t xml:space="preserve">ne </w:t>
      </w:r>
      <w:r w:rsidRPr="00E55971">
        <w:rPr>
          <w:lang w:val="fr-CA"/>
        </w:rPr>
        <w:t>sera considérée pour chaque produit. Si la substitution n</w:t>
      </w:r>
      <w:r w:rsidR="00CA77D4">
        <w:rPr>
          <w:lang w:val="fr-CA"/>
        </w:rPr>
        <w:t>’</w:t>
      </w:r>
      <w:r w:rsidRPr="00E55971">
        <w:rPr>
          <w:lang w:val="fr-CA"/>
        </w:rPr>
        <w:t xml:space="preserve">est pas acceptée, fournir le produit spécifié. </w:t>
      </w:r>
    </w:p>
    <w:p w14:paraId="1DB32FCF" w14:textId="27BDFE15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lang w:val="fr-CA"/>
        </w:rPr>
      </w:pPr>
      <w:r w:rsidRPr="00E55971">
        <w:rPr>
          <w:lang w:val="fr-CA"/>
        </w:rPr>
        <w:t>Dans sa demande de substitution après l</w:t>
      </w:r>
      <w:r w:rsidR="00CA77D4">
        <w:rPr>
          <w:lang w:val="fr-CA"/>
        </w:rPr>
        <w:t>’</w:t>
      </w:r>
      <w:r w:rsidRPr="00E55971">
        <w:rPr>
          <w:lang w:val="fr-CA"/>
        </w:rPr>
        <w:t>appel d</w:t>
      </w:r>
      <w:r w:rsidR="00CA77D4">
        <w:rPr>
          <w:lang w:val="fr-CA"/>
        </w:rPr>
        <w:t>’</w:t>
      </w:r>
      <w:r w:rsidRPr="00E55971">
        <w:rPr>
          <w:lang w:val="fr-CA"/>
        </w:rPr>
        <w:t>offres, le sous-traitant doit indiquer</w:t>
      </w:r>
      <w:r w:rsidR="00CA77D4">
        <w:rPr>
          <w:lang w:val="fr-CA"/>
        </w:rPr>
        <w:t> </w:t>
      </w:r>
      <w:r w:rsidR="00CB25DA">
        <w:rPr>
          <w:lang w:val="fr-CA"/>
        </w:rPr>
        <w:t xml:space="preserve">que </w:t>
      </w:r>
      <w:r w:rsidRPr="00E55971">
        <w:rPr>
          <w:lang w:val="fr-CA"/>
        </w:rPr>
        <w:t xml:space="preserve">: </w:t>
      </w:r>
    </w:p>
    <w:p w14:paraId="7E3DE7FF" w14:textId="0695E158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 produit est équivalent ou supérieur à tous égards au produit spécifié à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origine. </w:t>
      </w:r>
    </w:p>
    <w:p w14:paraId="27FA0CA3" w14:textId="77777777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 produit offrira la même garantie que celle exigée dans les Conditions générales du contrat, ou la même garantie ou garantie spéciale que celle spécifiée dans la section spécifique.</w:t>
      </w:r>
    </w:p>
    <w:p w14:paraId="3EC38B60" w14:textId="1CC44673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 xml:space="preserve">La demande de substitution </w:t>
      </w:r>
      <w:r w:rsidR="008D36BC">
        <w:rPr>
          <w:rFonts w:cs="CenturyGothic"/>
          <w:lang w:val="fr-CA"/>
        </w:rPr>
        <w:t>inclut</w:t>
      </w:r>
      <w:r w:rsidRPr="00E55971">
        <w:rPr>
          <w:rFonts w:cs="CenturyGothic"/>
          <w:lang w:val="fr-CA"/>
        </w:rPr>
        <w:t xml:space="preserve"> toutes les données sur les coûts et les répercussions financières de la substitution proposée. </w:t>
      </w:r>
    </w:p>
    <w:p w14:paraId="6EC6CA9F" w14:textId="7CAC2562" w:rsidR="0044032F" w:rsidRPr="00E55971" w:rsidRDefault="00CB25DA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lang w:val="fr-CA"/>
        </w:rPr>
      </w:pPr>
      <w:r>
        <w:rPr>
          <w:lang w:val="fr-CA"/>
        </w:rPr>
        <w:t>Sauf</w:t>
      </w:r>
      <w:r w:rsidR="0044032F" w:rsidRPr="00E55971">
        <w:rPr>
          <w:lang w:val="fr-CA"/>
        </w:rPr>
        <w:t xml:space="preserve"> dans le cas décrit à l</w:t>
      </w:r>
      <w:r w:rsidR="00CA77D4">
        <w:rPr>
          <w:lang w:val="fr-CA"/>
        </w:rPr>
        <w:t>’</w:t>
      </w:r>
      <w:r w:rsidR="0044032F" w:rsidRPr="00E55971">
        <w:rPr>
          <w:lang w:val="fr-CA"/>
        </w:rPr>
        <w:t>article</w:t>
      </w:r>
      <w:r w:rsidR="00CA77D4">
        <w:rPr>
          <w:lang w:val="fr-CA"/>
        </w:rPr>
        <w:t> </w:t>
      </w:r>
      <w:r w:rsidR="0044032F" w:rsidRPr="00E55971">
        <w:rPr>
          <w:lang w:val="fr-CA"/>
        </w:rPr>
        <w:t>1.2.A.2 ci-dessus, le sous-traitant comprend que la demande de substitution, si elle est approuvée, sera une modification au contrat de sous-traitance sans changement.</w:t>
      </w:r>
    </w:p>
    <w:p w14:paraId="5B58336A" w14:textId="77777777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 xml:space="preserve">Que le sous-traitant renonce aux réclamations futures pour les coûts supplémentaires causés par la substitution proposée. </w:t>
      </w:r>
    </w:p>
    <w:p w14:paraId="61B95ADF" w14:textId="1F6E610E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Ce sous-traitant devra payer les frais de remaniement et d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inspection spéciale s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ils sont causés par ce produit. </w:t>
      </w:r>
    </w:p>
    <w:p w14:paraId="1EE01666" w14:textId="21C56998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lang w:val="fr-CA"/>
        </w:rPr>
      </w:pPr>
      <w:r w:rsidRPr="00E55971">
        <w:rPr>
          <w:lang w:val="fr-CA"/>
        </w:rPr>
        <w:t>Dans tous les cas, l</w:t>
      </w:r>
      <w:r w:rsidR="00CA77D4">
        <w:rPr>
          <w:lang w:val="fr-CA"/>
        </w:rPr>
        <w:t>’</w:t>
      </w:r>
      <w:r w:rsidRPr="00E55971">
        <w:rPr>
          <w:lang w:val="fr-CA"/>
        </w:rPr>
        <w:t>ingénieur n</w:t>
      </w:r>
      <w:r w:rsidR="00CA77D4">
        <w:rPr>
          <w:lang w:val="fr-CA"/>
        </w:rPr>
        <w:t>’</w:t>
      </w:r>
      <w:r w:rsidRPr="00E55971">
        <w:rPr>
          <w:lang w:val="fr-CA"/>
        </w:rPr>
        <w:t>est pas responsable de la vérification de la compatibilité des substitutions à d</w:t>
      </w:r>
      <w:r w:rsidR="00CA77D4">
        <w:rPr>
          <w:lang w:val="fr-CA"/>
        </w:rPr>
        <w:t>’</w:t>
      </w:r>
      <w:r w:rsidRPr="00E55971">
        <w:rPr>
          <w:lang w:val="fr-CA"/>
        </w:rPr>
        <w:t>autres travaux connexes.</w:t>
      </w:r>
    </w:p>
    <w:p w14:paraId="15C8046D" w14:textId="77777777" w:rsidR="0044032F" w:rsidRPr="00E55971" w:rsidRDefault="0044032F" w:rsidP="0044032F">
      <w:pPr>
        <w:rPr>
          <w:rFonts w:ascii="Times New Roman" w:hAnsi="Times New Roman" w:cs="Times New Roman"/>
          <w:b/>
          <w:lang w:val="fr-CA"/>
        </w:rPr>
      </w:pPr>
    </w:p>
    <w:p w14:paraId="355E7402" w14:textId="4F498B59" w:rsidR="0044032F" w:rsidRPr="00E55971" w:rsidRDefault="0044032F" w:rsidP="0044032F">
      <w:pPr>
        <w:rPr>
          <w:rFonts w:ascii="Times New Roman" w:hAnsi="Times New Roman" w:cs="Times New Roman"/>
          <w:b/>
          <w:lang w:val="fr-CA"/>
        </w:rPr>
      </w:pPr>
      <w:r w:rsidRPr="00E55971">
        <w:rPr>
          <w:rFonts w:ascii="Times New Roman" w:hAnsi="Times New Roman" w:cs="Times New Roman"/>
          <w:b/>
          <w:lang w:val="fr-CA"/>
        </w:rPr>
        <w:t>PARTIE</w:t>
      </w:r>
      <w:r w:rsidR="00CA77D4">
        <w:rPr>
          <w:rFonts w:ascii="Times New Roman" w:hAnsi="Times New Roman" w:cs="Times New Roman"/>
          <w:b/>
          <w:lang w:val="fr-CA"/>
        </w:rPr>
        <w:t> </w:t>
      </w:r>
      <w:r w:rsidRPr="00E55971">
        <w:rPr>
          <w:rFonts w:ascii="Times New Roman" w:hAnsi="Times New Roman" w:cs="Times New Roman"/>
          <w:b/>
          <w:lang w:val="fr-CA"/>
        </w:rPr>
        <w:t xml:space="preserve">2 </w:t>
      </w:r>
      <w:r w:rsidR="00CA77D4">
        <w:rPr>
          <w:rFonts w:ascii="Times New Roman" w:hAnsi="Times New Roman" w:cs="Times New Roman"/>
          <w:b/>
          <w:lang w:val="fr-CA"/>
        </w:rPr>
        <w:t>—</w:t>
      </w:r>
      <w:r w:rsidRPr="00E55971">
        <w:rPr>
          <w:rFonts w:ascii="Times New Roman" w:hAnsi="Times New Roman" w:cs="Times New Roman"/>
          <w:b/>
          <w:lang w:val="fr-CA"/>
        </w:rPr>
        <w:t xml:space="preserve"> PRODUITS (NON UTILISÉS)</w:t>
      </w:r>
    </w:p>
    <w:p w14:paraId="0395433A" w14:textId="77777777" w:rsidR="0044032F" w:rsidRPr="00E55971" w:rsidRDefault="0044032F" w:rsidP="0044032F">
      <w:pPr>
        <w:rPr>
          <w:rFonts w:ascii="Times New Roman" w:hAnsi="Times New Roman" w:cs="Times New Roman"/>
          <w:b/>
          <w:lang w:val="fr-CA"/>
        </w:rPr>
      </w:pPr>
    </w:p>
    <w:p w14:paraId="1040BB06" w14:textId="73A2A985" w:rsidR="0044032F" w:rsidRPr="00E55971" w:rsidRDefault="0044032F" w:rsidP="0044032F">
      <w:pPr>
        <w:rPr>
          <w:rFonts w:ascii="Times New Roman" w:hAnsi="Times New Roman" w:cs="Times New Roman"/>
          <w:b/>
          <w:lang w:val="fr-CA"/>
        </w:rPr>
      </w:pPr>
      <w:r w:rsidRPr="00E55971">
        <w:rPr>
          <w:rFonts w:ascii="Times New Roman" w:hAnsi="Times New Roman" w:cs="Times New Roman"/>
          <w:b/>
          <w:lang w:val="fr-CA"/>
        </w:rPr>
        <w:t>PARTIE</w:t>
      </w:r>
      <w:r w:rsidR="00CA77D4">
        <w:rPr>
          <w:rFonts w:ascii="Times New Roman" w:hAnsi="Times New Roman" w:cs="Times New Roman"/>
          <w:b/>
          <w:lang w:val="fr-CA"/>
        </w:rPr>
        <w:t> </w:t>
      </w:r>
      <w:r w:rsidRPr="00E55971">
        <w:rPr>
          <w:rFonts w:ascii="Times New Roman" w:hAnsi="Times New Roman" w:cs="Times New Roman"/>
          <w:b/>
          <w:lang w:val="fr-CA"/>
        </w:rPr>
        <w:t xml:space="preserve">3 </w:t>
      </w:r>
      <w:r w:rsidR="00CA77D4">
        <w:rPr>
          <w:rFonts w:ascii="Times New Roman" w:hAnsi="Times New Roman" w:cs="Times New Roman"/>
          <w:b/>
          <w:lang w:val="fr-CA"/>
        </w:rPr>
        <w:t>—</w:t>
      </w:r>
      <w:r w:rsidRPr="00E55971">
        <w:rPr>
          <w:rFonts w:ascii="Times New Roman" w:hAnsi="Times New Roman" w:cs="Times New Roman"/>
          <w:b/>
          <w:lang w:val="fr-CA"/>
        </w:rPr>
        <w:t xml:space="preserve"> EXÉCUTION</w:t>
      </w:r>
    </w:p>
    <w:p w14:paraId="1E539C70" w14:textId="77777777" w:rsidR="0044032F" w:rsidRPr="00E55971" w:rsidRDefault="0044032F" w:rsidP="0044032F">
      <w:pPr>
        <w:rPr>
          <w:lang w:val="fr-CA"/>
        </w:rPr>
      </w:pPr>
    </w:p>
    <w:p w14:paraId="08A54491" w14:textId="77777777" w:rsidR="0044032F" w:rsidRPr="00E55971" w:rsidRDefault="0044032F" w:rsidP="0044032F">
      <w:pPr>
        <w:pStyle w:val="Heading1"/>
        <w:keepNext w:val="0"/>
        <w:keepLines w:val="0"/>
        <w:numPr>
          <w:ilvl w:val="0"/>
          <w:numId w:val="5"/>
        </w:numPr>
        <w:rPr>
          <w:lang w:val="fr-CA"/>
        </w:rPr>
      </w:pPr>
      <w:r w:rsidRPr="00E55971">
        <w:rPr>
          <w:lang w:val="fr-CA"/>
        </w:rPr>
        <w:t>PRÉPARATION</w:t>
      </w:r>
    </w:p>
    <w:p w14:paraId="474413EA" w14:textId="77777777" w:rsidR="0044032F" w:rsidRPr="00E55971" w:rsidRDefault="0044032F" w:rsidP="0044032F">
      <w:pPr>
        <w:pStyle w:val="Heading2"/>
        <w:keepNext w:val="0"/>
        <w:keepLines w:val="0"/>
        <w:numPr>
          <w:ilvl w:val="1"/>
          <w:numId w:val="7"/>
        </w:numPr>
        <w:rPr>
          <w:lang w:val="fr-CA"/>
        </w:rPr>
      </w:pPr>
      <w:r w:rsidRPr="00E55971">
        <w:rPr>
          <w:lang w:val="fr-CA"/>
        </w:rPr>
        <w:lastRenderedPageBreak/>
        <w:t xml:space="preserve"> Formulaire de demande de substitution. </w:t>
      </w:r>
    </w:p>
    <w:p w14:paraId="19BCDC6A" w14:textId="531D5918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Le sous-traitant, le soumissionnaire ou le proposant doit soumettre toutes les demandes de substitution sur ce formulaire, qui est inclus dans la section</w:t>
      </w:r>
      <w:r w:rsidR="00CA77D4">
        <w:rPr>
          <w:rFonts w:ascii="CenturyGothic" w:hAnsi="CenturyGothic" w:cs="CenturyGothic"/>
          <w:lang w:val="fr-CA"/>
        </w:rPr>
        <w:t> </w:t>
      </w:r>
      <w:r w:rsidRPr="00E55971">
        <w:rPr>
          <w:rFonts w:ascii="CenturyGothic" w:hAnsi="CenturyGothic" w:cs="CenturyGothic"/>
          <w:lang w:val="fr-CA"/>
        </w:rPr>
        <w:t xml:space="preserve">00 43 25. Faites des copies supplémentaires au besoin. </w:t>
      </w:r>
    </w:p>
    <w:p w14:paraId="7D609144" w14:textId="729E5CE8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Ce formulaire doit être rempli au complet lorsqu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on demande une substitution pour des méthodes ou des matériaux indiqués ou décrits dans les documents du contrat de sous-traitance. </w:t>
      </w:r>
    </w:p>
    <w:p w14:paraId="7CB1D7D5" w14:textId="5E9593D2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ambria" w:hAnsi="Cambria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 xml:space="preserve">Si les parties pertinentes du formulaire de demande de substitution </w:t>
      </w:r>
      <w:r w:rsidRPr="00E55971">
        <w:rPr>
          <w:rFonts w:ascii="Cambria" w:hAnsi="Cambria" w:cs="CenturyGothic"/>
          <w:lang w:val="fr-CA"/>
        </w:rPr>
        <w:t>ne sont pas remplies, l</w:t>
      </w:r>
      <w:r w:rsidR="00CA77D4">
        <w:rPr>
          <w:rFonts w:ascii="Cambria" w:hAnsi="Cambria" w:cs="CenturyGothic"/>
          <w:lang w:val="fr-CA"/>
        </w:rPr>
        <w:t>’</w:t>
      </w:r>
      <w:r w:rsidRPr="00E55971">
        <w:rPr>
          <w:rFonts w:ascii="Cambria" w:hAnsi="Cambria" w:cs="CenturyGothic"/>
          <w:lang w:val="fr-CA"/>
        </w:rPr>
        <w:t>Ingénieur rejettera la demande de substitution.</w:t>
      </w:r>
    </w:p>
    <w:p w14:paraId="4DB20994" w14:textId="77777777" w:rsidR="0044032F" w:rsidRPr="00E55971" w:rsidRDefault="0044032F" w:rsidP="0044032F">
      <w:pPr>
        <w:pStyle w:val="ListParagraph"/>
        <w:rPr>
          <w:rFonts w:ascii="Times New Roman" w:hAnsi="Times New Roman" w:cs="Times New Roman"/>
          <w:lang w:val="fr-CA"/>
        </w:rPr>
      </w:pPr>
    </w:p>
    <w:p w14:paraId="3693FABC" w14:textId="42264EB4" w:rsidR="007E5FDA" w:rsidRPr="00E55971" w:rsidRDefault="0044032F" w:rsidP="0044032F">
      <w:pPr>
        <w:jc w:val="center"/>
        <w:rPr>
          <w:rFonts w:ascii="Times New Roman" w:hAnsi="Times New Roman" w:cs="Times New Roman"/>
          <w:lang w:val="fr-CA"/>
        </w:rPr>
      </w:pPr>
      <w:r w:rsidRPr="00E55971">
        <w:rPr>
          <w:rFonts w:ascii="Times New Roman" w:hAnsi="Times New Roman" w:cs="Times New Roman"/>
          <w:lang w:val="fr-CA"/>
        </w:rPr>
        <w:t>FIN DE LA SECTION</w:t>
      </w:r>
    </w:p>
    <w:sectPr w:rsidR="007E5FDA" w:rsidRPr="00E55971" w:rsidSect="007E5F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C7138" w14:textId="77777777" w:rsidR="00B305DD" w:rsidRDefault="00B305DD" w:rsidP="00510AFF">
      <w:pPr>
        <w:spacing w:after="0" w:line="240" w:lineRule="auto"/>
      </w:pPr>
      <w:r>
        <w:separator/>
      </w:r>
    </w:p>
  </w:endnote>
  <w:endnote w:type="continuationSeparator" w:id="0">
    <w:p w14:paraId="40F83BD2" w14:textId="77777777" w:rsidR="00B305DD" w:rsidRDefault="00B305DD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84ED1" w14:textId="77777777" w:rsidR="00084858" w:rsidRDefault="000848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3AC28143" w:rsidR="00510AFF" w:rsidRPr="0044032F" w:rsidRDefault="00350B0F" w:rsidP="0044032F">
    <w:pPr>
      <w:pStyle w:val="Footer"/>
      <w:rPr>
        <w:rFonts w:ascii="Times New Roman" w:hAnsi="Times New Roman" w:cs="Times New Roman"/>
        <w:b/>
        <w:i/>
      </w:rPr>
    </w:pPr>
    <w:r w:rsidRPr="0044032F">
      <w:rPr>
        <w:rFonts w:ascii="Times New Roman" w:hAnsi="Times New Roman" w:cs="Times New Roman"/>
        <w:b/>
        <w:i/>
      </w:rPr>
      <w:t>USAID WATER/</w:t>
    </w:r>
    <w:r w:rsidR="00F066EB" w:rsidRPr="0044032F">
      <w:rPr>
        <w:rFonts w:ascii="Times New Roman" w:hAnsi="Times New Roman" w:cs="Times New Roman"/>
        <w:b/>
        <w:i/>
      </w:rPr>
      <w:t>SANITATION</w:t>
    </w:r>
    <w:r w:rsidR="008F062F" w:rsidRPr="0044032F">
      <w:rPr>
        <w:rFonts w:ascii="Times New Roman" w:hAnsi="Times New Roman" w:cs="Times New Roman"/>
        <w:b/>
        <w:i/>
      </w:rPr>
      <w:tab/>
    </w:r>
    <w:r w:rsidR="008005C2">
      <w:rPr>
        <w:rFonts w:ascii="Times New Roman" w:hAnsi="Times New Roman" w:cs="Times New Roman"/>
        <w:b/>
        <w:i/>
      </w:rPr>
      <w:t xml:space="preserve">                               </w:t>
    </w:r>
    <w:r w:rsidR="000B7BA4" w:rsidRPr="0044032F">
      <w:rPr>
        <w:rFonts w:ascii="Times New Roman" w:hAnsi="Times New Roman" w:cs="Times New Roman"/>
        <w:b/>
        <w:i/>
      </w:rPr>
      <w:t>01 25</w:t>
    </w:r>
    <w:r w:rsidR="00CA77D4">
      <w:rPr>
        <w:rFonts w:ascii="Times New Roman" w:hAnsi="Times New Roman" w:cs="Times New Roman"/>
        <w:b/>
        <w:i/>
      </w:rPr>
      <w:t> 13</w:t>
    </w:r>
    <w:r w:rsidR="008005C2">
      <w:rPr>
        <w:rFonts w:ascii="Times New Roman" w:hAnsi="Times New Roman" w:cs="Times New Roman"/>
        <w:b/>
        <w:i/>
      </w:rPr>
      <w:t xml:space="preserve">                          </w:t>
    </w:r>
    <w:proofErr w:type="spellStart"/>
    <w:r w:rsidR="00EC1322" w:rsidRPr="0044032F">
      <w:rPr>
        <w:rFonts w:ascii="Times New Roman" w:hAnsi="Times New Roman" w:cs="Times New Roman"/>
        <w:b/>
        <w:i/>
      </w:rPr>
      <w:t>Spécifications</w:t>
    </w:r>
    <w:proofErr w:type="spellEnd"/>
    <w:r w:rsidR="00EC1322" w:rsidRPr="0044032F">
      <w:rPr>
        <w:rFonts w:ascii="Times New Roman" w:hAnsi="Times New Roman" w:cs="Times New Roman"/>
        <w:b/>
        <w:i/>
      </w:rPr>
      <w:t xml:space="preserve"> </w:t>
    </w:r>
    <w:r w:rsidR="00CA77D4">
      <w:rPr>
        <w:rFonts w:ascii="Times New Roman" w:hAnsi="Times New Roman" w:cs="Times New Roman"/>
        <w:b/>
        <w:i/>
      </w:rPr>
      <w:t>t</w:t>
    </w:r>
    <w:r w:rsidR="00EC1322" w:rsidRPr="0044032F">
      <w:rPr>
        <w:rFonts w:ascii="Times New Roman" w:hAnsi="Times New Roman" w:cs="Times New Roman"/>
        <w:b/>
        <w:i/>
      </w:rPr>
      <w:t>echniques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53151" w14:textId="77777777" w:rsidR="00084858" w:rsidRDefault="000848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9C7F8" w14:textId="77777777" w:rsidR="00B305DD" w:rsidRDefault="00B305DD" w:rsidP="00510AFF">
      <w:pPr>
        <w:spacing w:after="0" w:line="240" w:lineRule="auto"/>
      </w:pPr>
      <w:r>
        <w:separator/>
      </w:r>
    </w:p>
  </w:footnote>
  <w:footnote w:type="continuationSeparator" w:id="0">
    <w:p w14:paraId="6541A9A3" w14:textId="77777777" w:rsidR="00B305DD" w:rsidRDefault="00B305DD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3A0A7" w14:textId="77777777" w:rsidR="00084858" w:rsidRDefault="000848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995A0" w14:textId="77777777" w:rsidR="00084858" w:rsidRDefault="000848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98AF" w14:textId="77777777" w:rsidR="00084858" w:rsidRDefault="000848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08234F42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2" w15:restartNumberingAfterBreak="0">
    <w:nsid w:val="0CE56019"/>
    <w:multiLevelType w:val="multilevel"/>
    <w:tmpl w:val="FA4E2E0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FB"/>
    <w:rsid w:val="000031BF"/>
    <w:rsid w:val="000051E2"/>
    <w:rsid w:val="00005DB4"/>
    <w:rsid w:val="00005E10"/>
    <w:rsid w:val="00011F79"/>
    <w:rsid w:val="00013E07"/>
    <w:rsid w:val="00050B0C"/>
    <w:rsid w:val="00055500"/>
    <w:rsid w:val="00084858"/>
    <w:rsid w:val="000B2137"/>
    <w:rsid w:val="000B7BA4"/>
    <w:rsid w:val="000C0336"/>
    <w:rsid w:val="000D5DB9"/>
    <w:rsid w:val="000D6810"/>
    <w:rsid w:val="000F18DC"/>
    <w:rsid w:val="000F5475"/>
    <w:rsid w:val="00114278"/>
    <w:rsid w:val="0011793F"/>
    <w:rsid w:val="00125369"/>
    <w:rsid w:val="00131365"/>
    <w:rsid w:val="00150350"/>
    <w:rsid w:val="001544B0"/>
    <w:rsid w:val="00162D14"/>
    <w:rsid w:val="0018332A"/>
    <w:rsid w:val="00197D81"/>
    <w:rsid w:val="001A5693"/>
    <w:rsid w:val="001E1DCE"/>
    <w:rsid w:val="001E65FB"/>
    <w:rsid w:val="00297F7D"/>
    <w:rsid w:val="002A5F98"/>
    <w:rsid w:val="002C1597"/>
    <w:rsid w:val="002F0472"/>
    <w:rsid w:val="003007AB"/>
    <w:rsid w:val="00307D7D"/>
    <w:rsid w:val="00312C22"/>
    <w:rsid w:val="0032517A"/>
    <w:rsid w:val="003358FC"/>
    <w:rsid w:val="00337444"/>
    <w:rsid w:val="003402CC"/>
    <w:rsid w:val="00350B0F"/>
    <w:rsid w:val="0035131F"/>
    <w:rsid w:val="003570FC"/>
    <w:rsid w:val="00360CE0"/>
    <w:rsid w:val="0036782C"/>
    <w:rsid w:val="00382000"/>
    <w:rsid w:val="00396859"/>
    <w:rsid w:val="003B3776"/>
    <w:rsid w:val="003C16CE"/>
    <w:rsid w:val="003D0891"/>
    <w:rsid w:val="003E4A3D"/>
    <w:rsid w:val="003E6A32"/>
    <w:rsid w:val="003F1994"/>
    <w:rsid w:val="003F20B8"/>
    <w:rsid w:val="003F34BA"/>
    <w:rsid w:val="003F772C"/>
    <w:rsid w:val="00413923"/>
    <w:rsid w:val="00427A5A"/>
    <w:rsid w:val="00433540"/>
    <w:rsid w:val="0044032F"/>
    <w:rsid w:val="00440F7F"/>
    <w:rsid w:val="00441E5D"/>
    <w:rsid w:val="00467421"/>
    <w:rsid w:val="004729B6"/>
    <w:rsid w:val="0049318B"/>
    <w:rsid w:val="004A58C3"/>
    <w:rsid w:val="004B2C00"/>
    <w:rsid w:val="004C3B3F"/>
    <w:rsid w:val="004C65DC"/>
    <w:rsid w:val="004D0F1D"/>
    <w:rsid w:val="004D51C5"/>
    <w:rsid w:val="004E1293"/>
    <w:rsid w:val="004E39E2"/>
    <w:rsid w:val="004F7D9C"/>
    <w:rsid w:val="0050121C"/>
    <w:rsid w:val="005016B0"/>
    <w:rsid w:val="00510AFF"/>
    <w:rsid w:val="005114F0"/>
    <w:rsid w:val="00543381"/>
    <w:rsid w:val="005709CB"/>
    <w:rsid w:val="00581C25"/>
    <w:rsid w:val="00584A3A"/>
    <w:rsid w:val="005921DD"/>
    <w:rsid w:val="0059260F"/>
    <w:rsid w:val="005A6452"/>
    <w:rsid w:val="005A650A"/>
    <w:rsid w:val="005B32E5"/>
    <w:rsid w:val="005D29E4"/>
    <w:rsid w:val="005E671B"/>
    <w:rsid w:val="005F4283"/>
    <w:rsid w:val="005F42DC"/>
    <w:rsid w:val="00607ED8"/>
    <w:rsid w:val="00636BC9"/>
    <w:rsid w:val="006415BF"/>
    <w:rsid w:val="00646140"/>
    <w:rsid w:val="00660FFF"/>
    <w:rsid w:val="006710FB"/>
    <w:rsid w:val="00680B90"/>
    <w:rsid w:val="00683F71"/>
    <w:rsid w:val="006A29B7"/>
    <w:rsid w:val="006B64BD"/>
    <w:rsid w:val="006B69BF"/>
    <w:rsid w:val="006D3634"/>
    <w:rsid w:val="006F01E5"/>
    <w:rsid w:val="007003D1"/>
    <w:rsid w:val="007004D0"/>
    <w:rsid w:val="007231D2"/>
    <w:rsid w:val="00726498"/>
    <w:rsid w:val="007468BC"/>
    <w:rsid w:val="00751552"/>
    <w:rsid w:val="00751E4F"/>
    <w:rsid w:val="007612CF"/>
    <w:rsid w:val="00766833"/>
    <w:rsid w:val="00776F7C"/>
    <w:rsid w:val="00785015"/>
    <w:rsid w:val="00792605"/>
    <w:rsid w:val="007A50BC"/>
    <w:rsid w:val="007E39C2"/>
    <w:rsid w:val="007E5FDA"/>
    <w:rsid w:val="007F7271"/>
    <w:rsid w:val="008005C2"/>
    <w:rsid w:val="00801ED2"/>
    <w:rsid w:val="00842883"/>
    <w:rsid w:val="008577B9"/>
    <w:rsid w:val="00864D4A"/>
    <w:rsid w:val="00871046"/>
    <w:rsid w:val="00873D5E"/>
    <w:rsid w:val="00876EC9"/>
    <w:rsid w:val="00885F1B"/>
    <w:rsid w:val="00893E46"/>
    <w:rsid w:val="008943F6"/>
    <w:rsid w:val="008B3AF2"/>
    <w:rsid w:val="008B4557"/>
    <w:rsid w:val="008B4657"/>
    <w:rsid w:val="008C02F0"/>
    <w:rsid w:val="008D22C1"/>
    <w:rsid w:val="008D36BC"/>
    <w:rsid w:val="008F062F"/>
    <w:rsid w:val="00907D76"/>
    <w:rsid w:val="00907E64"/>
    <w:rsid w:val="00910909"/>
    <w:rsid w:val="00921846"/>
    <w:rsid w:val="00931052"/>
    <w:rsid w:val="00937033"/>
    <w:rsid w:val="00937B6D"/>
    <w:rsid w:val="00941067"/>
    <w:rsid w:val="00944837"/>
    <w:rsid w:val="0095320D"/>
    <w:rsid w:val="0095578C"/>
    <w:rsid w:val="009676C8"/>
    <w:rsid w:val="0099180A"/>
    <w:rsid w:val="009C065C"/>
    <w:rsid w:val="009C224E"/>
    <w:rsid w:val="009D0731"/>
    <w:rsid w:val="009E526E"/>
    <w:rsid w:val="009E557C"/>
    <w:rsid w:val="009F6210"/>
    <w:rsid w:val="00A2402C"/>
    <w:rsid w:val="00A419E1"/>
    <w:rsid w:val="00A4453B"/>
    <w:rsid w:val="00A6427D"/>
    <w:rsid w:val="00A67D22"/>
    <w:rsid w:val="00A93852"/>
    <w:rsid w:val="00AB19B3"/>
    <w:rsid w:val="00B032B3"/>
    <w:rsid w:val="00B04358"/>
    <w:rsid w:val="00B2261E"/>
    <w:rsid w:val="00B305DD"/>
    <w:rsid w:val="00B50B85"/>
    <w:rsid w:val="00B621BE"/>
    <w:rsid w:val="00B7628F"/>
    <w:rsid w:val="00B94504"/>
    <w:rsid w:val="00BC6EB6"/>
    <w:rsid w:val="00C1375F"/>
    <w:rsid w:val="00C226E0"/>
    <w:rsid w:val="00C24D22"/>
    <w:rsid w:val="00C60807"/>
    <w:rsid w:val="00C818DF"/>
    <w:rsid w:val="00C8799F"/>
    <w:rsid w:val="00C9189D"/>
    <w:rsid w:val="00CA77D4"/>
    <w:rsid w:val="00CB25DA"/>
    <w:rsid w:val="00CB2901"/>
    <w:rsid w:val="00CB75E8"/>
    <w:rsid w:val="00CE51E1"/>
    <w:rsid w:val="00CF6640"/>
    <w:rsid w:val="00D0471B"/>
    <w:rsid w:val="00D048C8"/>
    <w:rsid w:val="00D05C79"/>
    <w:rsid w:val="00D205B7"/>
    <w:rsid w:val="00D20DFC"/>
    <w:rsid w:val="00D67047"/>
    <w:rsid w:val="00D80930"/>
    <w:rsid w:val="00D80D6C"/>
    <w:rsid w:val="00DB69DF"/>
    <w:rsid w:val="00DE5141"/>
    <w:rsid w:val="00E155CC"/>
    <w:rsid w:val="00E210A2"/>
    <w:rsid w:val="00E3324C"/>
    <w:rsid w:val="00E35425"/>
    <w:rsid w:val="00E40727"/>
    <w:rsid w:val="00E40B70"/>
    <w:rsid w:val="00E44968"/>
    <w:rsid w:val="00E55971"/>
    <w:rsid w:val="00E57C3A"/>
    <w:rsid w:val="00E60B6E"/>
    <w:rsid w:val="00E66FBC"/>
    <w:rsid w:val="00E84442"/>
    <w:rsid w:val="00EA36A3"/>
    <w:rsid w:val="00EB7EAF"/>
    <w:rsid w:val="00EC1322"/>
    <w:rsid w:val="00EC3014"/>
    <w:rsid w:val="00ED2C00"/>
    <w:rsid w:val="00EF5069"/>
    <w:rsid w:val="00F066EB"/>
    <w:rsid w:val="00F41053"/>
    <w:rsid w:val="00F602DB"/>
    <w:rsid w:val="00F7797D"/>
    <w:rsid w:val="00FA7CF3"/>
    <w:rsid w:val="00FB40D7"/>
    <w:rsid w:val="00FB4F64"/>
    <w:rsid w:val="00FC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3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C13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75F"/>
    <w:rPr>
      <w:b/>
      <w:b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3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33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Liss Corelus</dc:creator>
  <cp:keywords/>
  <dc:description/>
  <cp:lastModifiedBy>John Liss Corelus</cp:lastModifiedBy>
  <cp:revision>2</cp:revision>
  <cp:lastPrinted>2018-07-20T21:27:00Z</cp:lastPrinted>
  <dcterms:created xsi:type="dcterms:W3CDTF">2019-05-14T18:09:00Z</dcterms:created>
  <dcterms:modified xsi:type="dcterms:W3CDTF">2019-05-14T18:09:00Z</dcterms:modified>
</cp:coreProperties>
</file>