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72372F97" w:rsidR="00EC1322" w:rsidRPr="0050121C" w:rsidRDefault="00B434C5" w:rsidP="002F4BD9">
      <w:pPr>
        <w:jc w:val="center"/>
        <w:rPr>
          <w:rFonts w:ascii="Times New Roman" w:hAnsi="Times New Roman" w:cs="Times New Roman"/>
          <w:b/>
          <w:sz w:val="28"/>
          <w:lang w:val="fr-FR"/>
        </w:rPr>
      </w:pPr>
      <w:bookmarkStart w:id="0" w:name="_Hlk517717437"/>
      <w:bookmarkStart w:id="1" w:name="_GoBack"/>
      <w:bookmarkEnd w:id="1"/>
      <w:r>
        <w:rPr>
          <w:rFonts w:ascii="Times New Roman" w:eastAsia="Times New Roman" w:hAnsi="Times New Roman" w:cs="Times New Roman"/>
          <w:b/>
          <w:bCs/>
          <w:sz w:val="28"/>
          <w:szCs w:val="28"/>
          <w:bdr w:val="nil"/>
          <w:lang w:val="fr-FR"/>
        </w:rPr>
        <w:t>SECTION 09 91 00</w:t>
      </w:r>
    </w:p>
    <w:p w14:paraId="5C6EF4B4" w14:textId="1B5DCEF5" w:rsidR="00543381" w:rsidRPr="0050121C" w:rsidRDefault="00B434C5" w:rsidP="002F4BD9">
      <w:pPr>
        <w:jc w:val="center"/>
        <w:rPr>
          <w:rFonts w:ascii="Times New Roman" w:hAnsi="Times New Roman" w:cs="Times New Roman"/>
          <w:b/>
          <w:sz w:val="28"/>
          <w:lang w:val="fr-FR"/>
        </w:rPr>
      </w:pPr>
      <w:r>
        <w:rPr>
          <w:rFonts w:ascii="Times New Roman" w:eastAsia="Times New Roman" w:hAnsi="Times New Roman" w:cs="Times New Roman"/>
          <w:b/>
          <w:bCs/>
          <w:sz w:val="28"/>
          <w:szCs w:val="28"/>
          <w:bdr w:val="nil"/>
          <w:lang w:val="fr-FR"/>
        </w:rPr>
        <w:t>Peinture</w:t>
      </w:r>
    </w:p>
    <w:bookmarkEnd w:id="0"/>
    <w:p w14:paraId="0C9D8C46" w14:textId="108018D7" w:rsidR="007E5FDA" w:rsidRDefault="00B434C5" w:rsidP="002F4BD9">
      <w:pPr>
        <w:spacing w:after="0"/>
        <w:rPr>
          <w:rFonts w:ascii="Times New Roman" w:hAnsi="Times New Roman" w:cs="Times New Roman"/>
          <w:b/>
          <w:color w:val="000000" w:themeColor="text1"/>
        </w:rPr>
      </w:pPr>
      <w:r>
        <w:rPr>
          <w:rFonts w:ascii="Times New Roman" w:eastAsia="Times New Roman" w:hAnsi="Times New Roman" w:cs="Times New Roman"/>
          <w:b/>
          <w:bCs/>
          <w:bdr w:val="nil"/>
          <w:lang w:val="fr-FR"/>
        </w:rPr>
        <w:t>PA</w:t>
      </w:r>
      <w:r>
        <w:rPr>
          <w:rFonts w:ascii="Times New Roman" w:eastAsia="Times New Roman" w:hAnsi="Times New Roman" w:cs="Times New Roman"/>
          <w:b/>
          <w:bCs/>
          <w:color w:val="000000"/>
          <w:bdr w:val="nil"/>
          <w:lang w:val="fr-FR"/>
        </w:rPr>
        <w:t>RTIE 1 - GÉNÉRAL</w:t>
      </w:r>
    </w:p>
    <w:p w14:paraId="1D45B32B" w14:textId="15F741E7" w:rsidR="007E5FDA" w:rsidRDefault="007E5FDA" w:rsidP="002F4BD9">
      <w:pPr>
        <w:spacing w:after="0"/>
        <w:rPr>
          <w:rFonts w:ascii="Times New Roman" w:hAnsi="Times New Roman" w:cs="Times New Roman"/>
          <w:b/>
          <w:color w:val="000000" w:themeColor="text1"/>
        </w:rPr>
      </w:pPr>
    </w:p>
    <w:p w14:paraId="742DC5AC" w14:textId="714A6C9A" w:rsidR="004D0F1D" w:rsidRPr="007E5FDA" w:rsidRDefault="00B434C5" w:rsidP="002F4BD9">
      <w:pPr>
        <w:pStyle w:val="Heading1"/>
        <w:keepNext w:val="0"/>
        <w:keepLines w:val="0"/>
        <w:numPr>
          <w:ilvl w:val="0"/>
          <w:numId w:val="1"/>
        </w:numPr>
        <w:spacing w:before="120"/>
        <w:ind w:left="450" w:hanging="450"/>
        <w:rPr>
          <w:rFonts w:ascii="Times New Roman" w:hAnsi="Times New Roman" w:cs="Times New Roman"/>
          <w:b/>
        </w:rPr>
      </w:pPr>
      <w:r>
        <w:rPr>
          <w:rFonts w:ascii="Cambria" w:eastAsia="Cambria" w:hAnsi="Cambria" w:cs="Cambria"/>
          <w:color w:val="000000"/>
          <w:bdr w:val="nil"/>
          <w:lang w:val="fr-FR"/>
        </w:rPr>
        <w:t>RÉSUMÉ</w:t>
      </w:r>
    </w:p>
    <w:p w14:paraId="1B054B2D" w14:textId="77777777" w:rsidR="004D0F1D" w:rsidRPr="00055500" w:rsidRDefault="00B434C5" w:rsidP="002F4BD9">
      <w:pPr>
        <w:pStyle w:val="Heading2"/>
        <w:keepNext w:val="0"/>
        <w:keepLines w:val="0"/>
        <w:numPr>
          <w:ilvl w:val="1"/>
          <w:numId w:val="7"/>
        </w:numPr>
      </w:pPr>
      <w:r>
        <w:rPr>
          <w:rFonts w:ascii="Cambria" w:eastAsia="Cambria" w:hAnsi="Cambria" w:cs="Cambria"/>
          <w:color w:val="000000"/>
          <w:szCs w:val="24"/>
          <w:bdr w:val="nil"/>
          <w:lang w:val="fr-FR"/>
        </w:rPr>
        <w:t>Cette section inclut :</w:t>
      </w:r>
    </w:p>
    <w:p w14:paraId="3521C235" w14:textId="4BE906A6" w:rsidR="004D0F1D" w:rsidRDefault="00B434C5" w:rsidP="002F4BD9">
      <w:pPr>
        <w:pStyle w:val="Heading3"/>
        <w:keepNext w:val="0"/>
        <w:keepLines w:val="0"/>
        <w:numPr>
          <w:ilvl w:val="2"/>
          <w:numId w:val="1"/>
        </w:numPr>
      </w:pPr>
      <w:r>
        <w:rPr>
          <w:rFonts w:ascii="Cambria" w:eastAsia="Cambria" w:hAnsi="Cambria" w:cs="Cambria"/>
          <w:color w:val="000000"/>
          <w:bdr w:val="nil"/>
          <w:lang w:val="fr-FR"/>
        </w:rPr>
        <w:t>Indications pour la peinture de la charpente en acier</w:t>
      </w:r>
    </w:p>
    <w:p w14:paraId="45B0E9CB" w14:textId="4267DCC2" w:rsidR="002F564C" w:rsidRPr="002F564C" w:rsidRDefault="00B434C5" w:rsidP="002F564C">
      <w:pPr>
        <w:pStyle w:val="Heading1"/>
        <w:keepNext w:val="0"/>
        <w:keepLines w:val="0"/>
        <w:numPr>
          <w:ilvl w:val="0"/>
          <w:numId w:val="1"/>
        </w:numPr>
        <w:spacing w:before="120"/>
        <w:ind w:left="450" w:hanging="450"/>
      </w:pPr>
      <w:r>
        <w:rPr>
          <w:rFonts w:ascii="Cambria" w:eastAsia="Cambria" w:hAnsi="Cambria" w:cs="Cambria"/>
          <w:color w:val="000000"/>
          <w:bdr w:val="nil"/>
          <w:lang w:val="fr-FR"/>
        </w:rPr>
        <w:t>Prix et modalit</w:t>
      </w:r>
      <w:r>
        <w:rPr>
          <w:rFonts w:ascii="Cambria" w:eastAsia="Cambria" w:hAnsi="Cambria" w:cs="Cambria"/>
          <w:color w:val="000000"/>
          <w:bdr w:val="nil"/>
          <w:lang w:val="fr-FR"/>
        </w:rPr>
        <w:t>és de paiement</w:t>
      </w:r>
    </w:p>
    <w:p w14:paraId="73FA34B9" w14:textId="77777777" w:rsidR="002F564C" w:rsidRPr="00395522" w:rsidRDefault="00B434C5" w:rsidP="002F564C">
      <w:pPr>
        <w:pStyle w:val="Heading1"/>
        <w:numPr>
          <w:ilvl w:val="1"/>
          <w:numId w:val="1"/>
        </w:numPr>
      </w:pPr>
      <w:r>
        <w:rPr>
          <w:rFonts w:ascii="Cambria" w:eastAsia="Cambria" w:hAnsi="Cambria" w:cs="Cambria"/>
          <w:color w:val="000000"/>
          <w:bdr w:val="nil"/>
          <w:lang w:val="fr-FR"/>
        </w:rPr>
        <w:t>Le prix unitaire est tel détaillé dans la section 00 70 00</w:t>
      </w:r>
    </w:p>
    <w:p w14:paraId="28664149" w14:textId="3D90726D" w:rsidR="002F564C" w:rsidRDefault="00B434C5" w:rsidP="002F564C">
      <w:pPr>
        <w:pStyle w:val="Heading1"/>
        <w:numPr>
          <w:ilvl w:val="1"/>
          <w:numId w:val="1"/>
        </w:numPr>
      </w:pPr>
      <w:r>
        <w:rPr>
          <w:rFonts w:ascii="Cambria" w:eastAsia="Cambria" w:hAnsi="Cambria" w:cs="Cambria"/>
          <w:color w:val="000000"/>
          <w:bdr w:val="nil"/>
          <w:lang w:val="fr-FR"/>
        </w:rPr>
        <w:t>La mesure - inclut les m</w:t>
      </w:r>
      <w:r>
        <w:rPr>
          <w:rFonts w:ascii="Cambria" w:eastAsia="Cambria" w:hAnsi="Cambria" w:cs="Cambria"/>
          <w:color w:val="000000"/>
          <w:bdr w:val="nil"/>
          <w:lang w:val="fr-FR"/>
        </w:rPr>
        <w:t>atériaux et le travail requis pour le ponçage, la préparation, l'amorçage et la peinture des membres de la charpente d'acier. Comprend repeindre après l'assemblage à la place des soudures et de toute autre surface exposée</w:t>
      </w:r>
    </w:p>
    <w:p w14:paraId="6B244251" w14:textId="18524D25" w:rsidR="004D0F1D" w:rsidRDefault="00B434C5" w:rsidP="002F4BD9">
      <w:pPr>
        <w:pStyle w:val="Heading1"/>
        <w:keepNext w:val="0"/>
        <w:keepLines w:val="0"/>
        <w:numPr>
          <w:ilvl w:val="0"/>
          <w:numId w:val="1"/>
        </w:numPr>
        <w:ind w:left="450" w:hanging="450"/>
      </w:pPr>
      <w:r>
        <w:rPr>
          <w:rFonts w:ascii="Cambria" w:eastAsia="Cambria" w:hAnsi="Cambria" w:cs="Cambria"/>
          <w:color w:val="000000"/>
          <w:bdr w:val="nil"/>
          <w:lang w:val="fr-FR"/>
        </w:rPr>
        <w:t>SECTIONS CONNEXES</w:t>
      </w:r>
    </w:p>
    <w:p w14:paraId="26788815" w14:textId="77777777" w:rsidR="003E6A32" w:rsidRDefault="00B434C5" w:rsidP="002F4BD9">
      <w:pPr>
        <w:pStyle w:val="Heading2"/>
        <w:keepNext w:val="0"/>
        <w:keepLines w:val="0"/>
        <w:numPr>
          <w:ilvl w:val="1"/>
          <w:numId w:val="10"/>
        </w:numPr>
        <w:ind w:left="1080" w:hanging="360"/>
      </w:pPr>
      <w:bookmarkStart w:id="2" w:name="_Hlk460866"/>
      <w:r>
        <w:rPr>
          <w:rFonts w:ascii="Cambria" w:eastAsia="Cambria" w:hAnsi="Cambria" w:cs="Cambria"/>
          <w:color w:val="000000"/>
          <w:szCs w:val="24"/>
          <w:bdr w:val="nil"/>
          <w:lang w:val="fr-FR"/>
        </w:rPr>
        <w:t>Section 00 70 00 Conditions générales et Contrat d'infrastructure en sous-traitance à prix fixe et prix unitaire f</w:t>
      </w:r>
      <w:r>
        <w:rPr>
          <w:rFonts w:ascii="Cambria" w:eastAsia="Cambria" w:hAnsi="Cambria" w:cs="Cambria"/>
          <w:color w:val="000000"/>
          <w:szCs w:val="24"/>
          <w:bdr w:val="nil"/>
          <w:lang w:val="fr-FR"/>
        </w:rPr>
        <w:t xml:space="preserve">ixe </w:t>
      </w:r>
    </w:p>
    <w:bookmarkEnd w:id="2"/>
    <w:p w14:paraId="37808886" w14:textId="698283A1" w:rsidR="003E6A32" w:rsidRDefault="00B434C5" w:rsidP="002F4BD9">
      <w:pPr>
        <w:pStyle w:val="Heading2"/>
        <w:keepNext w:val="0"/>
        <w:keepLines w:val="0"/>
        <w:numPr>
          <w:ilvl w:val="1"/>
          <w:numId w:val="10"/>
        </w:numPr>
        <w:ind w:left="1080" w:hanging="360"/>
      </w:pPr>
      <w:r>
        <w:rPr>
          <w:rFonts w:ascii="Cambria" w:eastAsia="Cambria" w:hAnsi="Cambria" w:cs="Cambria"/>
          <w:color w:val="000000"/>
          <w:szCs w:val="24"/>
          <w:bdr w:val="nil"/>
          <w:lang w:val="fr-FR"/>
        </w:rPr>
        <w:t>05 10 00 Charpente d'acier</w:t>
      </w:r>
    </w:p>
    <w:p w14:paraId="4F00B4FE" w14:textId="08D07EDE" w:rsidR="002F564C" w:rsidRPr="002F564C" w:rsidRDefault="00B434C5" w:rsidP="002F564C">
      <w:pPr>
        <w:pStyle w:val="Heading2"/>
        <w:keepNext w:val="0"/>
        <w:keepLines w:val="0"/>
        <w:numPr>
          <w:ilvl w:val="1"/>
          <w:numId w:val="10"/>
        </w:numPr>
        <w:ind w:left="1080" w:hanging="360"/>
      </w:pPr>
      <w:r>
        <w:rPr>
          <w:rFonts w:ascii="Cambria" w:eastAsia="Cambria" w:hAnsi="Cambria" w:cs="Cambria"/>
          <w:color w:val="000000"/>
          <w:szCs w:val="24"/>
          <w:bdr w:val="nil"/>
          <w:lang w:val="fr-FR"/>
        </w:rPr>
        <w:t>01 25 13 Procédures de substitution de produits</w:t>
      </w:r>
    </w:p>
    <w:p w14:paraId="510C36D6" w14:textId="77777777" w:rsidR="004D0F1D" w:rsidRDefault="00B434C5" w:rsidP="002F4BD9">
      <w:pPr>
        <w:pStyle w:val="Heading1"/>
        <w:keepNext w:val="0"/>
        <w:keepLines w:val="0"/>
        <w:numPr>
          <w:ilvl w:val="0"/>
          <w:numId w:val="1"/>
        </w:numPr>
        <w:ind w:left="450" w:hanging="450"/>
      </w:pPr>
      <w:r>
        <w:rPr>
          <w:rFonts w:ascii="Cambria" w:eastAsia="Cambria" w:hAnsi="Cambria" w:cs="Cambria"/>
          <w:color w:val="000000"/>
          <w:bdr w:val="nil"/>
          <w:lang w:val="fr-FR"/>
        </w:rPr>
        <w:t>RÉFÉRENCES</w:t>
      </w:r>
    </w:p>
    <w:p w14:paraId="38872465" w14:textId="0FD5F905" w:rsidR="002013E6" w:rsidRDefault="00B434C5" w:rsidP="002F4BD9">
      <w:pPr>
        <w:pStyle w:val="Heading2"/>
        <w:keepNext w:val="0"/>
        <w:keepLines w:val="0"/>
        <w:numPr>
          <w:ilvl w:val="1"/>
          <w:numId w:val="13"/>
        </w:numPr>
        <w:ind w:left="1080" w:hanging="360"/>
      </w:pPr>
      <w:r>
        <w:rPr>
          <w:rFonts w:ascii="Cambria" w:eastAsia="Cambria" w:hAnsi="Cambria" w:cs="Cambria"/>
          <w:color w:val="000000"/>
          <w:szCs w:val="24"/>
          <w:bdr w:val="nil"/>
          <w:lang w:val="fr-FR"/>
        </w:rPr>
        <w:t>ASTM D 16 - Définitions des termes relatifs à la peinture, au vernis, à la laque et au</w:t>
      </w:r>
      <w:r>
        <w:rPr>
          <w:rFonts w:ascii="Cambria" w:eastAsia="Cambria" w:hAnsi="Cambria" w:cs="Cambria"/>
          <w:color w:val="000000"/>
          <w:szCs w:val="24"/>
          <w:bdr w:val="nil"/>
          <w:lang w:val="fr-FR"/>
        </w:rPr>
        <w:t>x produits connexes.</w:t>
      </w:r>
    </w:p>
    <w:p w14:paraId="1D14A4A8" w14:textId="4D40B8EC" w:rsidR="002013E6" w:rsidRDefault="00B434C5" w:rsidP="002F4BD9">
      <w:pPr>
        <w:pStyle w:val="Heading2"/>
        <w:keepNext w:val="0"/>
        <w:numPr>
          <w:ilvl w:val="1"/>
          <w:numId w:val="13"/>
        </w:numPr>
      </w:pPr>
      <w:r>
        <w:rPr>
          <w:rFonts w:ascii="Cambria" w:eastAsia="Cambria" w:hAnsi="Cambria" w:cs="Cambria"/>
          <w:color w:val="000000"/>
          <w:szCs w:val="24"/>
          <w:bdr w:val="nil"/>
          <w:lang w:val="fr-FR"/>
        </w:rPr>
        <w:t>ASTM D 523 - Méthode d’essai pour le brillant spéculaire.</w:t>
      </w:r>
    </w:p>
    <w:p w14:paraId="38B2896E" w14:textId="2F98F4BD" w:rsidR="00FC78F2" w:rsidRDefault="00B434C5" w:rsidP="002F4BD9">
      <w:pPr>
        <w:pStyle w:val="Heading2"/>
        <w:keepNext w:val="0"/>
        <w:numPr>
          <w:ilvl w:val="1"/>
          <w:numId w:val="13"/>
        </w:numPr>
        <w:ind w:left="1080" w:hanging="360"/>
      </w:pPr>
      <w:r>
        <w:rPr>
          <w:rFonts w:ascii="Cambria" w:eastAsia="Cambria" w:hAnsi="Cambria" w:cs="Cambria"/>
          <w:color w:val="000000"/>
          <w:szCs w:val="24"/>
          <w:bdr w:val="nil"/>
          <w:lang w:val="fr-FR"/>
        </w:rPr>
        <w:t xml:space="preserve">US Green Building </w:t>
      </w:r>
      <w:r>
        <w:rPr>
          <w:rFonts w:ascii="Cambria" w:eastAsia="Cambria" w:hAnsi="Cambria" w:cs="Cambria"/>
          <w:color w:val="000000"/>
          <w:szCs w:val="24"/>
          <w:bdr w:val="nil"/>
          <w:lang w:val="fr-FR"/>
        </w:rPr>
        <w:t>Council (USGBC) - normes Green Seal pour les crédits de peinture LEED.</w:t>
      </w:r>
    </w:p>
    <w:p w14:paraId="5AE36F36" w14:textId="09B48E0E" w:rsidR="00FC78F2" w:rsidRDefault="00B434C5" w:rsidP="002F4BD9">
      <w:pPr>
        <w:pStyle w:val="Heading2"/>
        <w:keepNext w:val="0"/>
        <w:numPr>
          <w:ilvl w:val="1"/>
          <w:numId w:val="13"/>
        </w:numPr>
      </w:pPr>
      <w:r>
        <w:rPr>
          <w:rFonts w:ascii="Cambria" w:eastAsia="Cambria" w:hAnsi="Cambria" w:cs="Cambria"/>
          <w:color w:val="000000"/>
          <w:szCs w:val="24"/>
          <w:bdr w:val="nil"/>
          <w:lang w:val="fr-FR"/>
        </w:rPr>
        <w:t>American National Standards Institute (ANSI) - normes de performance.</w:t>
      </w:r>
    </w:p>
    <w:p w14:paraId="622E4DE5" w14:textId="1E5DC1CC" w:rsidR="00FC78F2" w:rsidRDefault="00B434C5" w:rsidP="002F4BD9">
      <w:pPr>
        <w:pStyle w:val="Heading2"/>
        <w:keepNext w:val="0"/>
        <w:numPr>
          <w:ilvl w:val="1"/>
          <w:numId w:val="13"/>
        </w:numPr>
      </w:pPr>
      <w:r>
        <w:rPr>
          <w:rFonts w:ascii="Cambria" w:eastAsia="Cambria" w:hAnsi="Cambria" w:cs="Cambria"/>
          <w:color w:val="000000"/>
          <w:szCs w:val="24"/>
          <w:bdr w:val="nil"/>
          <w:lang w:val="fr-FR"/>
        </w:rPr>
        <w:t>Paint Decorating Subcontractors of America (PDCA) - norme d'application.</w:t>
      </w:r>
    </w:p>
    <w:p w14:paraId="256F3DE2" w14:textId="6A09844D" w:rsidR="00FC78F2" w:rsidRDefault="00B434C5" w:rsidP="002F4BD9">
      <w:pPr>
        <w:pStyle w:val="Heading2"/>
        <w:keepNext w:val="0"/>
        <w:numPr>
          <w:ilvl w:val="1"/>
          <w:numId w:val="13"/>
        </w:numPr>
      </w:pPr>
      <w:r>
        <w:rPr>
          <w:rFonts w:ascii="Cambria" w:eastAsia="Cambria" w:hAnsi="Cambria" w:cs="Cambria"/>
          <w:color w:val="000000"/>
          <w:szCs w:val="24"/>
          <w:bdr w:val="nil"/>
          <w:lang w:val="fr-FR"/>
        </w:rPr>
        <w:t>National Paint and Coatings Association (NPCA) - norme de bri</w:t>
      </w:r>
      <w:r>
        <w:rPr>
          <w:rFonts w:ascii="Cambria" w:eastAsia="Cambria" w:hAnsi="Cambria" w:cs="Cambria"/>
          <w:color w:val="000000"/>
          <w:szCs w:val="24"/>
          <w:bdr w:val="nil"/>
          <w:lang w:val="fr-FR"/>
        </w:rPr>
        <w:t>llant.</w:t>
      </w:r>
    </w:p>
    <w:p w14:paraId="37A5CBF6" w14:textId="782E0481" w:rsidR="00FC78F2" w:rsidRDefault="00B434C5" w:rsidP="002F4BD9">
      <w:pPr>
        <w:pStyle w:val="Heading2"/>
        <w:keepNext w:val="0"/>
        <w:numPr>
          <w:ilvl w:val="1"/>
          <w:numId w:val="13"/>
        </w:numPr>
      </w:pPr>
      <w:r>
        <w:rPr>
          <w:rFonts w:ascii="Cambria" w:eastAsia="Cambria" w:hAnsi="Cambria" w:cs="Cambria"/>
          <w:color w:val="000000"/>
          <w:szCs w:val="24"/>
          <w:bdr w:val="nil"/>
          <w:lang w:val="fr-FR"/>
        </w:rPr>
        <w:t>American Society for Testing Materials (ASTM) - méthodes d'essai.</w:t>
      </w:r>
    </w:p>
    <w:p w14:paraId="6E8E736E" w14:textId="28C36C98" w:rsidR="00FC78F2" w:rsidRDefault="00B434C5" w:rsidP="002F4BD9">
      <w:pPr>
        <w:pStyle w:val="Heading2"/>
        <w:keepNext w:val="0"/>
        <w:numPr>
          <w:ilvl w:val="1"/>
          <w:numId w:val="13"/>
        </w:numPr>
      </w:pPr>
      <w:r>
        <w:rPr>
          <w:rFonts w:ascii="Cambria" w:eastAsia="Cambria" w:hAnsi="Cambria" w:cs="Cambria"/>
          <w:color w:val="000000"/>
          <w:szCs w:val="24"/>
          <w:bdr w:val="nil"/>
          <w:lang w:val="fr-FR"/>
        </w:rPr>
        <w:t>Master Paint Institute (M</w:t>
      </w:r>
      <w:r>
        <w:rPr>
          <w:rFonts w:ascii="Cambria" w:eastAsia="Cambria" w:hAnsi="Cambria" w:cs="Cambria"/>
          <w:color w:val="000000"/>
          <w:szCs w:val="24"/>
          <w:bdr w:val="nil"/>
          <w:lang w:val="fr-FR"/>
        </w:rPr>
        <w:t>PI) - catégories et normes de peinture établies.</w:t>
      </w:r>
    </w:p>
    <w:p w14:paraId="47031BDD" w14:textId="3CC9885C" w:rsidR="00FC78F2" w:rsidRPr="00FC78F2" w:rsidRDefault="00B434C5" w:rsidP="002F4BD9">
      <w:pPr>
        <w:pStyle w:val="Heading2"/>
        <w:keepNext w:val="0"/>
        <w:numPr>
          <w:ilvl w:val="1"/>
          <w:numId w:val="13"/>
        </w:numPr>
        <w:ind w:left="1080" w:hanging="360"/>
      </w:pPr>
      <w:r>
        <w:rPr>
          <w:rFonts w:ascii="Cambria" w:eastAsia="Cambria" w:hAnsi="Cambria" w:cs="Cambria"/>
          <w:color w:val="000000"/>
          <w:szCs w:val="24"/>
          <w:bdr w:val="nil"/>
          <w:lang w:val="fr-FR"/>
        </w:rPr>
        <w:t>Ozone Transmission Commission (OTC) - niveaux établis de composés organiques volatils.</w:t>
      </w:r>
    </w:p>
    <w:p w14:paraId="4B8230E3" w14:textId="74A5EA0E" w:rsidR="004D0F1D" w:rsidRDefault="00B434C5" w:rsidP="002F4BD9">
      <w:pPr>
        <w:pStyle w:val="Heading1"/>
        <w:keepNext w:val="0"/>
        <w:keepLines w:val="0"/>
        <w:numPr>
          <w:ilvl w:val="0"/>
          <w:numId w:val="1"/>
        </w:numPr>
      </w:pPr>
      <w:r>
        <w:rPr>
          <w:rFonts w:ascii="Cambria" w:eastAsia="Cambria" w:hAnsi="Cambria" w:cs="Cambria"/>
          <w:color w:val="000000"/>
          <w:bdr w:val="nil"/>
          <w:lang w:val="fr-FR"/>
        </w:rPr>
        <w:t>DÉFINITIONS ET UTILISATIONS</w:t>
      </w:r>
    </w:p>
    <w:p w14:paraId="1C110317" w14:textId="53B04153" w:rsidR="00FC78F2" w:rsidRDefault="00FC78F2" w:rsidP="002F4BD9">
      <w:pPr>
        <w:pStyle w:val="Heading2"/>
        <w:keepNext w:val="0"/>
        <w:keepLines w:val="0"/>
        <w:numPr>
          <w:ilvl w:val="0"/>
          <w:numId w:val="0"/>
        </w:numPr>
        <w:ind w:left="1080"/>
      </w:pPr>
    </w:p>
    <w:p w14:paraId="668225BB" w14:textId="6DC80F82" w:rsidR="00FC78F2" w:rsidRDefault="00B434C5" w:rsidP="002F4BD9">
      <w:pPr>
        <w:pStyle w:val="Heading2"/>
        <w:keepNext w:val="0"/>
        <w:keepLines w:val="0"/>
        <w:numPr>
          <w:ilvl w:val="1"/>
          <w:numId w:val="15"/>
        </w:numPr>
        <w:ind w:left="1080" w:hanging="360"/>
      </w:pPr>
      <w:r>
        <w:rPr>
          <w:rFonts w:ascii="Cambria" w:eastAsia="Cambria" w:hAnsi="Cambria" w:cs="Cambria"/>
          <w:color w:val="000000"/>
          <w:szCs w:val="24"/>
          <w:bdr w:val="nil"/>
          <w:lang w:val="fr-FR"/>
        </w:rPr>
        <w:t>Les niveaux de brillance établis par la National Paint &amp; Coating Association (NPCA) à l'aide de la méthode d'e</w:t>
      </w:r>
      <w:r>
        <w:rPr>
          <w:rFonts w:ascii="Cambria" w:eastAsia="Cambria" w:hAnsi="Cambria" w:cs="Cambria"/>
          <w:color w:val="000000"/>
          <w:szCs w:val="24"/>
          <w:bdr w:val="nil"/>
          <w:lang w:val="fr-FR"/>
        </w:rPr>
        <w:t>ssai ASTM n° D-523 (mètre à 60 degrés) sont les suivants :</w:t>
      </w:r>
    </w:p>
    <w:p w14:paraId="29EE6096" w14:textId="77777777" w:rsidR="00FC78F2" w:rsidRDefault="00B434C5" w:rsidP="002F4BD9">
      <w:pPr>
        <w:pStyle w:val="Heading3"/>
        <w:keepNext w:val="0"/>
        <w:keepLines w:val="0"/>
        <w:numPr>
          <w:ilvl w:val="2"/>
          <w:numId w:val="1"/>
        </w:numPr>
      </w:pPr>
      <w:r>
        <w:rPr>
          <w:rFonts w:ascii="Cambria" w:eastAsia="Cambria" w:hAnsi="Cambria" w:cs="Cambria"/>
          <w:color w:val="000000"/>
          <w:bdr w:val="nil"/>
          <w:lang w:val="fr-FR"/>
        </w:rPr>
        <w:t>Mat - moins de 5 pour cent.</w:t>
      </w:r>
    </w:p>
    <w:p w14:paraId="38FC1251" w14:textId="77777777" w:rsidR="00FC78F2" w:rsidRDefault="00B434C5" w:rsidP="002F4BD9">
      <w:pPr>
        <w:pStyle w:val="Heading3"/>
        <w:keepNext w:val="0"/>
        <w:keepLines w:val="0"/>
        <w:numPr>
          <w:ilvl w:val="2"/>
          <w:numId w:val="1"/>
        </w:numPr>
      </w:pPr>
      <w:r>
        <w:rPr>
          <w:rFonts w:ascii="Cambria" w:eastAsia="Cambria" w:hAnsi="Cambria" w:cs="Cambria"/>
          <w:color w:val="000000"/>
          <w:bdr w:val="nil"/>
          <w:lang w:val="fr-FR"/>
        </w:rPr>
        <w:t xml:space="preserve">Coquille </w:t>
      </w:r>
      <w:r>
        <w:rPr>
          <w:rFonts w:ascii="Cambria" w:eastAsia="Cambria" w:hAnsi="Cambria" w:cs="Cambria"/>
          <w:color w:val="000000"/>
          <w:bdr w:val="nil"/>
          <w:lang w:val="fr-FR"/>
        </w:rPr>
        <w:t>d'œuf - 5 - 20 pour cent.</w:t>
      </w:r>
    </w:p>
    <w:p w14:paraId="39576D44" w14:textId="77777777" w:rsidR="00FC78F2" w:rsidRDefault="00B434C5" w:rsidP="002F4BD9">
      <w:pPr>
        <w:pStyle w:val="Heading3"/>
        <w:keepNext w:val="0"/>
        <w:keepLines w:val="0"/>
        <w:numPr>
          <w:ilvl w:val="2"/>
          <w:numId w:val="1"/>
        </w:numPr>
      </w:pPr>
      <w:r>
        <w:rPr>
          <w:rFonts w:ascii="Cambria" w:eastAsia="Cambria" w:hAnsi="Cambria" w:cs="Cambria"/>
          <w:color w:val="000000"/>
          <w:bdr w:val="nil"/>
          <w:lang w:val="fr-FR"/>
        </w:rPr>
        <w:t>Satin - 20 - 35 pour cent.</w:t>
      </w:r>
    </w:p>
    <w:p w14:paraId="6A079A40" w14:textId="77777777" w:rsidR="00FC78F2" w:rsidRDefault="00B434C5" w:rsidP="002F4BD9">
      <w:pPr>
        <w:pStyle w:val="Heading3"/>
        <w:keepNext w:val="0"/>
        <w:keepLines w:val="0"/>
        <w:numPr>
          <w:ilvl w:val="2"/>
          <w:numId w:val="1"/>
        </w:numPr>
      </w:pPr>
      <w:r>
        <w:rPr>
          <w:rFonts w:ascii="Cambria" w:eastAsia="Cambria" w:hAnsi="Cambria" w:cs="Cambria"/>
          <w:color w:val="000000"/>
          <w:bdr w:val="nil"/>
          <w:lang w:val="fr-FR"/>
        </w:rPr>
        <w:t>Semi-lustré - 30 - 65 pour cent.</w:t>
      </w:r>
    </w:p>
    <w:p w14:paraId="40B56D34" w14:textId="77777777" w:rsidR="00FC78F2" w:rsidRDefault="00B434C5" w:rsidP="002F4BD9">
      <w:pPr>
        <w:pStyle w:val="Heading3"/>
        <w:keepNext w:val="0"/>
        <w:keepLines w:val="0"/>
        <w:numPr>
          <w:ilvl w:val="2"/>
          <w:numId w:val="1"/>
        </w:numPr>
      </w:pPr>
      <w:r>
        <w:rPr>
          <w:rFonts w:ascii="Cambria" w:eastAsia="Cambria" w:hAnsi="Cambria" w:cs="Cambria"/>
          <w:color w:val="000000"/>
          <w:bdr w:val="nil"/>
          <w:lang w:val="fr-FR"/>
        </w:rPr>
        <w:t>Lustré - Plus de 65 pour cent.</w:t>
      </w:r>
    </w:p>
    <w:p w14:paraId="2BC7014B" w14:textId="77777777" w:rsidR="00FC78F2" w:rsidRPr="00FC78F2" w:rsidRDefault="00FC78F2" w:rsidP="002F4BD9"/>
    <w:p w14:paraId="5C9A593E" w14:textId="77777777" w:rsidR="004D0F1D" w:rsidRDefault="00B434C5" w:rsidP="002F4BD9">
      <w:pPr>
        <w:pStyle w:val="Heading1"/>
        <w:keepNext w:val="0"/>
        <w:keepLines w:val="0"/>
        <w:numPr>
          <w:ilvl w:val="0"/>
          <w:numId w:val="1"/>
        </w:numPr>
      </w:pPr>
      <w:r>
        <w:rPr>
          <w:rFonts w:ascii="Cambria" w:eastAsia="Cambria" w:hAnsi="Cambria" w:cs="Cambria"/>
          <w:color w:val="000000"/>
          <w:bdr w:val="nil"/>
          <w:lang w:val="fr-FR"/>
        </w:rPr>
        <w:t>DOSSIERS</w:t>
      </w:r>
    </w:p>
    <w:p w14:paraId="650F02BF" w14:textId="1A5FA9DE" w:rsidR="00FC78F2" w:rsidRDefault="00B434C5" w:rsidP="002F564C">
      <w:pPr>
        <w:pStyle w:val="Heading2"/>
        <w:keepNext w:val="0"/>
        <w:numPr>
          <w:ilvl w:val="1"/>
          <w:numId w:val="8"/>
        </w:numPr>
        <w:ind w:left="1080" w:hanging="360"/>
      </w:pPr>
      <w:r>
        <w:rPr>
          <w:rFonts w:ascii="Cambria" w:eastAsia="Cambria" w:hAnsi="Cambria" w:cs="Cambria"/>
          <w:color w:val="000000"/>
          <w:szCs w:val="24"/>
          <w:bdr w:val="nil"/>
          <w:lang w:val="fr-FR"/>
        </w:rPr>
        <w:t>Données de produit : fournissez une liste complète de tous les produits à utiliser, avec les informations suivantes pour chacun :</w:t>
      </w:r>
    </w:p>
    <w:p w14:paraId="63047ADE" w14:textId="23CB24F5" w:rsidR="002F564C" w:rsidRPr="002F564C" w:rsidRDefault="00B434C5" w:rsidP="002F564C">
      <w:pPr>
        <w:pStyle w:val="Heading3"/>
        <w:keepNext w:val="0"/>
        <w:keepLines w:val="0"/>
        <w:numPr>
          <w:ilvl w:val="2"/>
          <w:numId w:val="6"/>
        </w:numPr>
      </w:pPr>
      <w:r>
        <w:rPr>
          <w:rFonts w:ascii="Cambria" w:eastAsia="Cambria" w:hAnsi="Cambria" w:cs="Cambria"/>
          <w:color w:val="000000"/>
          <w:bdr w:val="nil"/>
          <w:lang w:val="fr-FR"/>
        </w:rPr>
        <w:t>Consulter le propriétaire et l'ingéni</w:t>
      </w:r>
      <w:r>
        <w:rPr>
          <w:rFonts w:ascii="Cambria" w:eastAsia="Cambria" w:hAnsi="Cambria" w:cs="Cambria"/>
          <w:color w:val="000000"/>
          <w:bdr w:val="nil"/>
          <w:lang w:val="fr-FR"/>
        </w:rPr>
        <w:t>eur pour déterminer la couleur de peinture souhaitée</w:t>
      </w:r>
    </w:p>
    <w:p w14:paraId="0BE948F5" w14:textId="77777777" w:rsidR="00FC78F2" w:rsidRDefault="00B434C5" w:rsidP="002F4BD9">
      <w:pPr>
        <w:pStyle w:val="Heading3"/>
        <w:keepNext w:val="0"/>
        <w:keepLines w:val="0"/>
        <w:numPr>
          <w:ilvl w:val="2"/>
          <w:numId w:val="6"/>
        </w:numPr>
      </w:pPr>
      <w:r>
        <w:rPr>
          <w:rFonts w:ascii="Cambria" w:eastAsia="Cambria" w:hAnsi="Cambria" w:cs="Cambria"/>
          <w:color w:val="000000"/>
          <w:bdr w:val="nil"/>
          <w:lang w:val="fr-FR"/>
        </w:rPr>
        <w:t>Soumettez une fiche de données de produit et une fiche de données de sécurité pour tous les apprêts, peintures, teintures et</w:t>
      </w:r>
      <w:r>
        <w:rPr>
          <w:rFonts w:ascii="Cambria" w:eastAsia="Cambria" w:hAnsi="Cambria" w:cs="Cambria"/>
          <w:color w:val="000000"/>
          <w:bdr w:val="nil"/>
          <w:lang w:val="fr-FR"/>
        </w:rPr>
        <w:t xml:space="preserve"> revêtements utilisés.</w:t>
      </w:r>
    </w:p>
    <w:p w14:paraId="0FA0A43E" w14:textId="77777777" w:rsidR="00FC78F2" w:rsidRDefault="00B434C5" w:rsidP="002F4BD9">
      <w:pPr>
        <w:pStyle w:val="Heading3"/>
        <w:keepNext w:val="0"/>
        <w:keepLines w:val="0"/>
        <w:numPr>
          <w:ilvl w:val="2"/>
          <w:numId w:val="6"/>
        </w:numPr>
      </w:pPr>
      <w:r>
        <w:rPr>
          <w:rFonts w:ascii="Cambria" w:eastAsia="Cambria" w:hAnsi="Cambria" w:cs="Cambria"/>
          <w:color w:val="000000"/>
          <w:bdr w:val="nil"/>
          <w:lang w:val="fr-FR"/>
        </w:rPr>
        <w:t>Nom du fabricant, nom du produit et/ou numéro de catalogue et catégorie générale de produit.</w:t>
      </w:r>
    </w:p>
    <w:p w14:paraId="285E8521" w14:textId="42869570" w:rsidR="004D0F1D" w:rsidRDefault="00B434C5" w:rsidP="002F4BD9">
      <w:pPr>
        <w:pStyle w:val="Heading3"/>
        <w:keepNext w:val="0"/>
        <w:keepLines w:val="0"/>
        <w:numPr>
          <w:ilvl w:val="2"/>
          <w:numId w:val="6"/>
        </w:numPr>
      </w:pPr>
      <w:r>
        <w:rPr>
          <w:rFonts w:ascii="Cambria" w:eastAsia="Cambria" w:hAnsi="Cambria" w:cs="Cambria"/>
          <w:color w:val="000000"/>
          <w:bdr w:val="nil"/>
          <w:lang w:val="fr-FR"/>
        </w:rPr>
        <w:t>Se référer au(x) système(s) de peinture spécifié(s) dans le(s)quel(s) le produit doit être utilisé ; inclure une description de chaque système. Sauf indication contraire, soumettre les éléments suivants à l'ingénieur :</w:t>
      </w:r>
    </w:p>
    <w:p w14:paraId="7F5FC9CD" w14:textId="495B9450" w:rsidR="00FC78F2" w:rsidRDefault="00B434C5" w:rsidP="002F4BD9">
      <w:pPr>
        <w:pStyle w:val="Heading2"/>
        <w:keepNext w:val="0"/>
        <w:keepLines w:val="0"/>
        <w:numPr>
          <w:ilvl w:val="1"/>
          <w:numId w:val="8"/>
        </w:numPr>
        <w:ind w:left="1080" w:hanging="360"/>
      </w:pPr>
      <w:r>
        <w:rPr>
          <w:rFonts w:ascii="Cambria" w:eastAsia="Cambria" w:hAnsi="Cambria" w:cs="Cambria"/>
          <w:color w:val="000000"/>
          <w:szCs w:val="24"/>
          <w:bdr w:val="nil"/>
          <w:lang w:val="fr-FR"/>
        </w:rPr>
        <w:t>Échantillons: Soumettre des échantillons de peinture sur les métaux spécifiés</w:t>
      </w:r>
    </w:p>
    <w:p w14:paraId="70D56000" w14:textId="77777777" w:rsidR="00BF25D3" w:rsidRDefault="00B434C5" w:rsidP="002F4BD9">
      <w:pPr>
        <w:pStyle w:val="Heading2"/>
        <w:keepNext w:val="0"/>
        <w:keepLines w:val="0"/>
        <w:numPr>
          <w:ilvl w:val="1"/>
          <w:numId w:val="8"/>
        </w:numPr>
        <w:ind w:left="1080" w:hanging="360"/>
      </w:pPr>
      <w:r>
        <w:rPr>
          <w:rFonts w:ascii="Cambria" w:eastAsia="Cambria" w:hAnsi="Cambria" w:cs="Cambria"/>
          <w:color w:val="000000"/>
          <w:szCs w:val="24"/>
          <w:bdr w:val="nil"/>
          <w:lang w:val="fr-FR"/>
        </w:rPr>
        <w:t>Instructions du fabricant : indiquez le</w:t>
      </w:r>
      <w:r>
        <w:rPr>
          <w:rFonts w:ascii="Cambria" w:eastAsia="Cambria" w:hAnsi="Cambria" w:cs="Cambria"/>
          <w:color w:val="000000"/>
          <w:szCs w:val="24"/>
          <w:bdr w:val="nil"/>
          <w:lang w:val="fr-FR"/>
        </w:rPr>
        <w:t>s procédures spéciales de préparation de la surface.</w:t>
      </w:r>
    </w:p>
    <w:p w14:paraId="44D0D556" w14:textId="77777777" w:rsidR="00BF25D3" w:rsidRDefault="00B434C5" w:rsidP="002F4BD9">
      <w:pPr>
        <w:pStyle w:val="Heading2"/>
        <w:keepNext w:val="0"/>
        <w:keepLines w:val="0"/>
        <w:numPr>
          <w:ilvl w:val="1"/>
          <w:numId w:val="8"/>
        </w:numPr>
        <w:ind w:left="1080" w:hanging="360"/>
      </w:pPr>
      <w:r>
        <w:rPr>
          <w:rFonts w:ascii="Cambria" w:eastAsia="Cambria" w:hAnsi="Cambria" w:cs="Cambria"/>
          <w:color w:val="000000"/>
          <w:szCs w:val="24"/>
          <w:bdr w:val="nil"/>
          <w:lang w:val="fr-FR"/>
        </w:rPr>
        <w:t>Données de maintenance : soumettre les données de nettoyage, de retouche et de réparation des surfaces peintes et revêtues.</w:t>
      </w:r>
    </w:p>
    <w:p w14:paraId="5955A29E" w14:textId="77777777" w:rsidR="00BF25D3" w:rsidRPr="00BF25D3" w:rsidRDefault="00BF25D3" w:rsidP="002F4BD9"/>
    <w:p w14:paraId="6D297E2B" w14:textId="77777777" w:rsidR="004D0F1D" w:rsidRDefault="00B434C5" w:rsidP="002F4BD9">
      <w:pPr>
        <w:pStyle w:val="Heading1"/>
        <w:keepNext w:val="0"/>
        <w:keepLines w:val="0"/>
        <w:numPr>
          <w:ilvl w:val="0"/>
          <w:numId w:val="1"/>
        </w:numPr>
      </w:pPr>
      <w:r>
        <w:rPr>
          <w:rFonts w:ascii="Cambria" w:eastAsia="Cambria" w:hAnsi="Cambria" w:cs="Cambria"/>
          <w:color w:val="000000"/>
          <w:bdr w:val="nil"/>
          <w:lang w:val="fr-FR"/>
        </w:rPr>
        <w:t>ASSURANCE QUALITÉ</w:t>
      </w:r>
    </w:p>
    <w:p w14:paraId="2659656B" w14:textId="77777777" w:rsidR="00BF25D3" w:rsidRDefault="00B434C5" w:rsidP="002F4BD9">
      <w:pPr>
        <w:pStyle w:val="Heading2"/>
        <w:keepNext w:val="0"/>
        <w:numPr>
          <w:ilvl w:val="1"/>
          <w:numId w:val="16"/>
        </w:numPr>
        <w:ind w:left="990" w:hanging="270"/>
      </w:pPr>
      <w:r>
        <w:rPr>
          <w:rFonts w:ascii="Cambria" w:eastAsia="Cambria" w:hAnsi="Cambria" w:cs="Cambria"/>
          <w:color w:val="000000"/>
          <w:szCs w:val="24"/>
          <w:bdr w:val="nil"/>
          <w:lang w:val="fr-FR"/>
        </w:rPr>
        <w:t xml:space="preserve">Qualifications de l'installateur : tous les produits énumérés dans cette </w:t>
      </w:r>
      <w:r>
        <w:rPr>
          <w:rFonts w:ascii="Cambria" w:eastAsia="Cambria" w:hAnsi="Cambria" w:cs="Cambria"/>
          <w:color w:val="000000"/>
          <w:szCs w:val="24"/>
          <w:bdr w:val="nil"/>
          <w:lang w:val="fr-FR"/>
        </w:rPr>
        <w:t>section doivent être installés par un seul installateur avec au moins trois ans d'expérience confirmée dans l'installation de produits du même type et de la même étendue que celle spécifiée.</w:t>
      </w:r>
    </w:p>
    <w:p w14:paraId="322A9EDD" w14:textId="77777777" w:rsidR="00BF25D3" w:rsidRPr="00BF25D3" w:rsidRDefault="00B434C5" w:rsidP="002F4BD9">
      <w:pPr>
        <w:pStyle w:val="Heading2"/>
        <w:keepNext w:val="0"/>
        <w:numPr>
          <w:ilvl w:val="1"/>
          <w:numId w:val="16"/>
        </w:numPr>
        <w:ind w:left="990" w:hanging="270"/>
      </w:pPr>
      <w:r>
        <w:rPr>
          <w:rFonts w:ascii="Cambria" w:eastAsia="Cambria" w:hAnsi="Cambria" w:cs="Cambria"/>
          <w:color w:val="000000"/>
          <w:szCs w:val="24"/>
          <w:bdr w:val="nil"/>
          <w:lang w:val="fr-FR"/>
        </w:rPr>
        <w:t>Maquette : fournissez une maquette pour l'évaluation des techniques de préparation de la surface et de la qualité d'exécution.</w:t>
      </w:r>
    </w:p>
    <w:p w14:paraId="281D4FE4" w14:textId="25D12049" w:rsidR="00BF25D3" w:rsidRDefault="00B434C5" w:rsidP="002F4BD9">
      <w:pPr>
        <w:pStyle w:val="Heading3"/>
        <w:keepNext w:val="0"/>
        <w:keepLines w:val="0"/>
        <w:numPr>
          <w:ilvl w:val="2"/>
          <w:numId w:val="17"/>
        </w:numPr>
      </w:pPr>
      <w:r>
        <w:rPr>
          <w:rFonts w:ascii="Cambria" w:eastAsia="Cambria" w:hAnsi="Cambria" w:cs="Cambria"/>
          <w:color w:val="000000"/>
          <w:bdr w:val="nil"/>
          <w:lang w:val="fr-FR"/>
        </w:rPr>
        <w:lastRenderedPageBreak/>
        <w:t>Terminer les zones désignées par l'i</w:t>
      </w:r>
      <w:r>
        <w:rPr>
          <w:rFonts w:ascii="Cambria" w:eastAsia="Cambria" w:hAnsi="Cambria" w:cs="Cambria"/>
          <w:color w:val="000000"/>
          <w:bdr w:val="nil"/>
          <w:lang w:val="fr-FR"/>
        </w:rPr>
        <w:t>ngénieur</w:t>
      </w:r>
    </w:p>
    <w:p w14:paraId="078E9BDF" w14:textId="217E17F0" w:rsidR="00BF25D3" w:rsidRDefault="00B434C5" w:rsidP="002F4BD9">
      <w:pPr>
        <w:pStyle w:val="Heading3"/>
        <w:keepNext w:val="0"/>
        <w:keepLines w:val="0"/>
        <w:numPr>
          <w:ilvl w:val="2"/>
          <w:numId w:val="17"/>
        </w:numPr>
      </w:pPr>
      <w:r>
        <w:rPr>
          <w:rFonts w:ascii="Cambria" w:eastAsia="Cambria" w:hAnsi="Cambria" w:cs="Cambria"/>
          <w:color w:val="000000"/>
          <w:bdr w:val="nil"/>
          <w:lang w:val="fr-FR"/>
        </w:rPr>
        <w:t>Ne poursuivez pas les travaux tant que l’ingénieur n’ait approuvé la finition, la couleur et le brillant.</w:t>
      </w:r>
    </w:p>
    <w:p w14:paraId="4266ECC8" w14:textId="77777777" w:rsidR="00BF25D3" w:rsidRDefault="00B434C5" w:rsidP="002F4BD9">
      <w:pPr>
        <w:pStyle w:val="Heading2"/>
        <w:keepNext w:val="0"/>
        <w:numPr>
          <w:ilvl w:val="1"/>
          <w:numId w:val="16"/>
        </w:numPr>
        <w:ind w:left="990" w:hanging="270"/>
      </w:pPr>
      <w:r>
        <w:rPr>
          <w:rFonts w:ascii="Cambria" w:eastAsia="Cambria" w:hAnsi="Cambria" w:cs="Cambria"/>
          <w:color w:val="000000"/>
          <w:szCs w:val="24"/>
          <w:bdr w:val="nil"/>
          <w:lang w:val="fr-FR"/>
        </w:rPr>
        <w:t>Finir la zone de maquette selon les exigences pour produire un travail acceptable.</w:t>
      </w:r>
    </w:p>
    <w:p w14:paraId="07D9F054" w14:textId="77777777" w:rsidR="00BF25D3" w:rsidRDefault="00BF25D3" w:rsidP="002F4BD9">
      <w:pPr>
        <w:pStyle w:val="Heading1"/>
        <w:keepNext w:val="0"/>
        <w:keepLines w:val="0"/>
        <w:ind w:left="360"/>
      </w:pPr>
    </w:p>
    <w:p w14:paraId="72B83302" w14:textId="01968E33" w:rsidR="004D0F1D" w:rsidRDefault="00B434C5" w:rsidP="002F4BD9">
      <w:pPr>
        <w:pStyle w:val="Heading1"/>
        <w:keepNext w:val="0"/>
        <w:keepLines w:val="0"/>
        <w:numPr>
          <w:ilvl w:val="0"/>
          <w:numId w:val="1"/>
        </w:numPr>
      </w:pPr>
      <w:r>
        <w:rPr>
          <w:rFonts w:ascii="Cambria" w:eastAsia="Cambria" w:hAnsi="Cambria" w:cs="Cambria"/>
          <w:color w:val="000000"/>
          <w:bdr w:val="nil"/>
          <w:lang w:val="fr-FR"/>
        </w:rPr>
        <w:t>LIVRAISON, STOCKAGE ET MANUTENTION</w:t>
      </w:r>
    </w:p>
    <w:p w14:paraId="11DC6EB8" w14:textId="77777777" w:rsidR="00BF25D3" w:rsidRDefault="00B434C5" w:rsidP="002F4BD9">
      <w:pPr>
        <w:pStyle w:val="Heading2"/>
        <w:keepNext w:val="0"/>
        <w:numPr>
          <w:ilvl w:val="1"/>
          <w:numId w:val="18"/>
        </w:numPr>
        <w:ind w:left="1080" w:hanging="360"/>
      </w:pPr>
      <w:r>
        <w:rPr>
          <w:rFonts w:ascii="Cambria" w:eastAsia="Cambria" w:hAnsi="Cambria" w:cs="Cambria"/>
          <w:color w:val="000000"/>
          <w:szCs w:val="24"/>
          <w:bdr w:val="nil"/>
          <w:lang w:val="fr-FR"/>
        </w:rPr>
        <w:t>Conservez les produits scellés dans l'emballage du fabricant jusqu'à ce qu'ils soient prêts à être installés.</w:t>
      </w:r>
    </w:p>
    <w:p w14:paraId="50904310" w14:textId="77777777" w:rsidR="00BF25D3" w:rsidRDefault="00B434C5" w:rsidP="002F4BD9">
      <w:pPr>
        <w:pStyle w:val="Heading2"/>
        <w:keepNext w:val="0"/>
        <w:numPr>
          <w:ilvl w:val="1"/>
          <w:numId w:val="18"/>
        </w:numPr>
        <w:ind w:left="1080" w:hanging="360"/>
      </w:pPr>
      <w:r>
        <w:rPr>
          <w:rFonts w:ascii="Cambria" w:eastAsia="Cambria" w:hAnsi="Cambria" w:cs="Cambria"/>
          <w:color w:val="000000"/>
          <w:szCs w:val="24"/>
          <w:bdr w:val="nil"/>
          <w:lang w:val="fr-FR"/>
        </w:rPr>
        <w:t>Stockez et jetez les matériau</w:t>
      </w:r>
      <w:r>
        <w:rPr>
          <w:rFonts w:ascii="Cambria" w:eastAsia="Cambria" w:hAnsi="Cambria" w:cs="Cambria"/>
          <w:color w:val="000000"/>
          <w:szCs w:val="24"/>
          <w:bdr w:val="nil"/>
          <w:lang w:val="fr-FR"/>
        </w:rPr>
        <w:t>x à base de solvant et les matériaux utilisés avec des matériaux à base de solvant conformément aux exigences des autorités locales compétentes.</w:t>
      </w:r>
    </w:p>
    <w:p w14:paraId="49699BD2" w14:textId="77777777" w:rsidR="00BF25D3" w:rsidRDefault="00B434C5" w:rsidP="002F4BD9">
      <w:pPr>
        <w:pStyle w:val="Heading2"/>
        <w:keepNext w:val="0"/>
        <w:numPr>
          <w:ilvl w:val="1"/>
          <w:numId w:val="18"/>
        </w:numPr>
        <w:ind w:left="1080" w:hanging="360"/>
      </w:pPr>
      <w:r>
        <w:rPr>
          <w:rFonts w:ascii="Cambria" w:eastAsia="Cambria" w:hAnsi="Cambria" w:cs="Cambria"/>
          <w:color w:val="000000"/>
          <w:szCs w:val="24"/>
          <w:bdr w:val="nil"/>
          <w:lang w:val="fr-FR"/>
        </w:rPr>
        <w:t>Élimination :</w:t>
      </w:r>
    </w:p>
    <w:p w14:paraId="738BAD6A" w14:textId="77777777" w:rsidR="00BF25D3" w:rsidRDefault="00B434C5" w:rsidP="002F564C">
      <w:pPr>
        <w:pStyle w:val="Heading3"/>
        <w:keepNext w:val="0"/>
        <w:keepLines w:val="0"/>
        <w:numPr>
          <w:ilvl w:val="2"/>
          <w:numId w:val="42"/>
        </w:numPr>
      </w:pPr>
      <w:r>
        <w:rPr>
          <w:rFonts w:ascii="Cambria" w:eastAsia="Cambria" w:hAnsi="Cambria" w:cs="Cambria"/>
          <w:color w:val="000000"/>
          <w:bdr w:val="nil"/>
          <w:lang w:val="fr-FR"/>
        </w:rPr>
        <w:t>Ne jamais verser les restes de revêtement dans un évier ou un drain. Utilisez du matériel sur le chantier ou scellez et conservez-le en toute sécurité pour une utilisation ultérieure.</w:t>
      </w:r>
    </w:p>
    <w:p w14:paraId="5088AB73" w14:textId="77777777" w:rsidR="00BF25D3" w:rsidRDefault="00B434C5" w:rsidP="002F564C">
      <w:pPr>
        <w:pStyle w:val="Heading3"/>
        <w:keepNext w:val="0"/>
        <w:keepLines w:val="0"/>
        <w:numPr>
          <w:ilvl w:val="2"/>
          <w:numId w:val="42"/>
        </w:numPr>
      </w:pPr>
      <w:r>
        <w:rPr>
          <w:rFonts w:ascii="Cambria" w:eastAsia="Cambria" w:hAnsi="Cambria" w:cs="Cambria"/>
          <w:color w:val="000000"/>
          <w:bdr w:val="nil"/>
          <w:lang w:val="fr-FR"/>
        </w:rPr>
        <w:t>Ne pas incinérer les contenants fermés.</w:t>
      </w:r>
    </w:p>
    <w:p w14:paraId="26264301" w14:textId="77777777" w:rsidR="00BF25D3" w:rsidRDefault="00B434C5" w:rsidP="002F564C">
      <w:pPr>
        <w:pStyle w:val="Heading3"/>
        <w:keepNext w:val="0"/>
        <w:keepLines w:val="0"/>
        <w:numPr>
          <w:ilvl w:val="2"/>
          <w:numId w:val="42"/>
        </w:numPr>
      </w:pPr>
      <w:r>
        <w:rPr>
          <w:rFonts w:ascii="Cambria" w:eastAsia="Cambria" w:hAnsi="Cambria" w:cs="Cambria"/>
          <w:color w:val="000000"/>
          <w:bdr w:val="nil"/>
          <w:lang w:val="fr-FR"/>
        </w:rPr>
        <w:t>Pour des directives spécifiques sur l'élimination ou le recyclage, co</w:t>
      </w:r>
      <w:r>
        <w:rPr>
          <w:rFonts w:ascii="Cambria" w:eastAsia="Cambria" w:hAnsi="Cambria" w:cs="Cambria"/>
          <w:color w:val="000000"/>
          <w:bdr w:val="nil"/>
          <w:lang w:val="fr-FR"/>
        </w:rPr>
        <w:t>ntactez l'agence de gestion des déchets locale ou le district. Recyclez autant que possible.</w:t>
      </w:r>
    </w:p>
    <w:p w14:paraId="24E54A3E" w14:textId="77777777" w:rsidR="00BF25D3" w:rsidRDefault="00B434C5" w:rsidP="002F4BD9">
      <w:pPr>
        <w:pStyle w:val="Heading1"/>
        <w:keepNext w:val="0"/>
        <w:keepLines w:val="0"/>
        <w:numPr>
          <w:ilvl w:val="0"/>
          <w:numId w:val="1"/>
        </w:numPr>
      </w:pPr>
      <w:r>
        <w:rPr>
          <w:rFonts w:ascii="Cambria" w:eastAsia="Cambria" w:hAnsi="Cambria" w:cs="Cambria"/>
          <w:color w:val="000000"/>
          <w:bdr w:val="nil"/>
          <w:lang w:val="fr-FR"/>
        </w:rPr>
        <w:t>CONDITIONS DU PROJET</w:t>
      </w:r>
    </w:p>
    <w:p w14:paraId="50976C81" w14:textId="77777777" w:rsidR="002F564C" w:rsidRDefault="00B434C5" w:rsidP="002F4BD9">
      <w:pPr>
        <w:pStyle w:val="Heading2"/>
        <w:keepNext w:val="0"/>
        <w:numPr>
          <w:ilvl w:val="1"/>
          <w:numId w:val="19"/>
        </w:numPr>
        <w:ind w:left="1080" w:hanging="360"/>
      </w:pPr>
      <w:r>
        <w:rPr>
          <w:rFonts w:ascii="Cambria" w:eastAsia="Cambria" w:hAnsi="Cambria" w:cs="Cambria"/>
          <w:color w:val="000000"/>
          <w:szCs w:val="24"/>
          <w:bdr w:val="nil"/>
          <w:lang w:val="fr-FR"/>
        </w:rPr>
        <w:t>Maintenez les conditions environnementales (température, humidité et ventilation) dans les limites recommandées par le fabricant pour obtenir des résultats optimaux. Ne pas installer les produits dans des conditions environnementales en deh</w:t>
      </w:r>
      <w:r>
        <w:rPr>
          <w:rFonts w:ascii="Cambria" w:eastAsia="Cambria" w:hAnsi="Cambria" w:cs="Cambria"/>
          <w:color w:val="000000"/>
          <w:szCs w:val="24"/>
          <w:bdr w:val="nil"/>
          <w:lang w:val="fr-FR"/>
        </w:rPr>
        <w:t xml:space="preserve">ors des limites absolues du fabricant. </w:t>
      </w:r>
    </w:p>
    <w:p w14:paraId="14D7E026" w14:textId="672EAB67" w:rsidR="004D0F1D" w:rsidRDefault="00B434C5" w:rsidP="002F564C">
      <w:pPr>
        <w:pStyle w:val="Heading1"/>
        <w:keepNext w:val="0"/>
        <w:keepLines w:val="0"/>
        <w:numPr>
          <w:ilvl w:val="0"/>
          <w:numId w:val="1"/>
        </w:numPr>
      </w:pPr>
      <w:r>
        <w:rPr>
          <w:rFonts w:ascii="Cambria" w:eastAsia="Cambria" w:hAnsi="Cambria" w:cs="Cambria"/>
          <w:color w:val="000000"/>
          <w:bdr w:val="nil"/>
          <w:lang w:val="fr-FR"/>
        </w:rPr>
        <w:t>CONTRAINTES RÉGLEMENTAIRES ET ENVIRONNEMENTAUX DES TRAVAUX</w:t>
      </w:r>
    </w:p>
    <w:p w14:paraId="04727EE4" w14:textId="377A9698" w:rsidR="002F564C" w:rsidRDefault="002F564C" w:rsidP="002F564C"/>
    <w:p w14:paraId="74F00DAC" w14:textId="29863F88" w:rsidR="002F564C" w:rsidRPr="002F564C" w:rsidRDefault="00B434C5" w:rsidP="002F564C">
      <w:pPr>
        <w:pStyle w:val="Heading2"/>
        <w:keepNext w:val="0"/>
        <w:numPr>
          <w:ilvl w:val="1"/>
          <w:numId w:val="44"/>
        </w:numPr>
        <w:ind w:left="1170" w:hanging="450"/>
      </w:pPr>
      <w:r>
        <w:rPr>
          <w:rFonts w:ascii="Cambria" w:eastAsia="Cambria" w:hAnsi="Cambria" w:cs="Cambria"/>
          <w:color w:val="000000"/>
          <w:szCs w:val="24"/>
          <w:bdr w:val="nil"/>
          <w:lang w:val="fr-FR"/>
        </w:rPr>
        <w:t xml:space="preserve">Respectez toutes les réglementations et règles relatives à l'environnement et à la sécurité des travailleuses et travailleurs telles qu'elles figurent dans le plan de surveillance et de gestion de l'environnement spécifique au projet et conformément aux </w:t>
      </w:r>
      <w:r>
        <w:rPr>
          <w:rFonts w:ascii="Cambria" w:eastAsia="Cambria" w:hAnsi="Cambria" w:cs="Cambria"/>
          <w:color w:val="000000"/>
          <w:szCs w:val="24"/>
          <w:bdr w:val="nil"/>
          <w:lang w:val="fr-FR"/>
        </w:rPr>
        <w:t xml:space="preserve">réglementations environnementales nationales et municipales. </w:t>
      </w:r>
    </w:p>
    <w:p w14:paraId="38BED551" w14:textId="4F729B76" w:rsidR="004D0F1D" w:rsidRDefault="004D0F1D" w:rsidP="002F4BD9"/>
    <w:p w14:paraId="7AC2D8C0" w14:textId="3057FA57" w:rsidR="00BF25D3" w:rsidRDefault="00B434C5" w:rsidP="002F4BD9">
      <w:pPr>
        <w:pStyle w:val="Heading1"/>
        <w:keepNext w:val="0"/>
        <w:keepLines w:val="0"/>
        <w:numPr>
          <w:ilvl w:val="0"/>
          <w:numId w:val="1"/>
        </w:numPr>
      </w:pPr>
      <w:r>
        <w:rPr>
          <w:rFonts w:ascii="Cambria" w:eastAsia="Cambria" w:hAnsi="Cambria" w:cs="Cambria"/>
          <w:color w:val="000000"/>
          <w:bdr w:val="nil"/>
          <w:lang w:val="fr-FR"/>
        </w:rPr>
        <w:t>GARANTIE</w:t>
      </w:r>
    </w:p>
    <w:p w14:paraId="06BACB9C" w14:textId="2E6D7380" w:rsidR="00BF25D3" w:rsidRDefault="00B434C5" w:rsidP="002F4BD9">
      <w:pPr>
        <w:pStyle w:val="Heading2"/>
        <w:keepNext w:val="0"/>
        <w:numPr>
          <w:ilvl w:val="1"/>
          <w:numId w:val="20"/>
        </w:numPr>
        <w:ind w:left="1080" w:hanging="360"/>
      </w:pPr>
      <w:r>
        <w:rPr>
          <w:rFonts w:ascii="Cambria" w:eastAsia="Cambria" w:hAnsi="Cambria" w:cs="Cambria"/>
          <w:color w:val="000000"/>
          <w:szCs w:val="24"/>
          <w:bdr w:val="nil"/>
          <w:lang w:val="fr-FR"/>
        </w:rPr>
        <w:lastRenderedPageBreak/>
        <w:t>L'inspection de toutes les</w:t>
      </w:r>
      <w:r>
        <w:rPr>
          <w:rFonts w:ascii="Cambria" w:eastAsia="Cambria" w:hAnsi="Cambria" w:cs="Cambria"/>
          <w:color w:val="000000"/>
          <w:szCs w:val="24"/>
          <w:bdr w:val="nil"/>
          <w:lang w:val="fr-FR"/>
        </w:rPr>
        <w:t xml:space="preserve"> surfaces à revêtir doit être effectuée par le représentant du fabricant ou du distributeur pour assurer une préparation adéquate avant l'application.</w:t>
      </w:r>
    </w:p>
    <w:p w14:paraId="4721D89E" w14:textId="4D2C0599" w:rsidR="00BF25D3" w:rsidRDefault="00B434C5" w:rsidP="002F4BD9">
      <w:pPr>
        <w:pStyle w:val="Heading2"/>
        <w:keepNext w:val="0"/>
        <w:numPr>
          <w:ilvl w:val="1"/>
          <w:numId w:val="20"/>
        </w:numPr>
        <w:ind w:left="1080" w:hanging="360"/>
      </w:pPr>
      <w:r>
        <w:rPr>
          <w:rFonts w:ascii="Cambria" w:eastAsia="Cambria" w:hAnsi="Cambria" w:cs="Cambria"/>
          <w:color w:val="000000"/>
          <w:szCs w:val="24"/>
          <w:bdr w:val="nil"/>
          <w:lang w:val="fr-FR"/>
        </w:rPr>
        <w:t>Tous les diluants, mastics</w:t>
      </w:r>
      <w:r>
        <w:rPr>
          <w:rFonts w:ascii="Cambria" w:eastAsia="Cambria" w:hAnsi="Cambria" w:cs="Cambria"/>
          <w:color w:val="000000"/>
          <w:szCs w:val="24"/>
          <w:bdr w:val="nil"/>
          <w:lang w:val="fr-FR"/>
        </w:rPr>
        <w:t>, apprêts et revêtements de finition doivent provenir du même fabricant pour assurer la garantie du produit. Les produits autres que ceux présentés doivent être accompagnés d'une lettre indiquant leur aptitude à l'emploi et leur compatibilité.</w:t>
      </w:r>
    </w:p>
    <w:p w14:paraId="4A396033" w14:textId="12B356A9" w:rsidR="00BF25D3" w:rsidRDefault="00B434C5" w:rsidP="002F4BD9">
      <w:pPr>
        <w:pStyle w:val="Heading2"/>
        <w:keepNext w:val="0"/>
        <w:numPr>
          <w:ilvl w:val="1"/>
          <w:numId w:val="20"/>
        </w:numPr>
        <w:ind w:left="1080" w:hanging="360"/>
      </w:pPr>
      <w:r>
        <w:rPr>
          <w:rFonts w:ascii="Cambria" w:eastAsia="Cambria" w:hAnsi="Cambria" w:cs="Cambria"/>
          <w:color w:val="000000"/>
          <w:szCs w:val="24"/>
          <w:bdr w:val="nil"/>
          <w:lang w:val="fr-FR"/>
        </w:rPr>
        <w:t>À la clôture du projet, fournissez au propriétaire ou à l'ingénieur une copie exécutée du formulaire standard du fabricant décrivant les termes et conditions ainsi que toute exclusion de le</w:t>
      </w:r>
      <w:r>
        <w:rPr>
          <w:rFonts w:ascii="Cambria" w:eastAsia="Cambria" w:hAnsi="Cambria" w:cs="Cambria"/>
          <w:color w:val="000000"/>
          <w:szCs w:val="24"/>
          <w:bdr w:val="nil"/>
          <w:lang w:val="fr-FR"/>
        </w:rPr>
        <w:t>ur garantie limitée contre les défauts de fabrication.</w:t>
      </w:r>
    </w:p>
    <w:p w14:paraId="4DE374B9" w14:textId="5B1B439E" w:rsidR="00BF25D3" w:rsidRDefault="00BF25D3" w:rsidP="002F4BD9"/>
    <w:p w14:paraId="2877CCB6" w14:textId="77777777" w:rsidR="006620FE" w:rsidRDefault="00B434C5" w:rsidP="002F4BD9">
      <w:pPr>
        <w:pStyle w:val="Heading1"/>
        <w:keepNext w:val="0"/>
        <w:keepLines w:val="0"/>
        <w:numPr>
          <w:ilvl w:val="0"/>
          <w:numId w:val="1"/>
        </w:numPr>
      </w:pPr>
      <w:r>
        <w:rPr>
          <w:rFonts w:ascii="Cambria" w:eastAsia="Cambria" w:hAnsi="Cambria" w:cs="Cambria"/>
          <w:color w:val="000000"/>
          <w:bdr w:val="nil"/>
          <w:lang w:val="fr-FR"/>
        </w:rPr>
        <w:t>MATÉRIAUX SUPPLÉMENTAIRES</w:t>
      </w:r>
    </w:p>
    <w:p w14:paraId="16F52A93" w14:textId="4C0A075F" w:rsidR="006620FE" w:rsidRDefault="00B434C5" w:rsidP="002F4BD9">
      <w:pPr>
        <w:pStyle w:val="Heading2"/>
        <w:keepNext w:val="0"/>
        <w:numPr>
          <w:ilvl w:val="1"/>
          <w:numId w:val="21"/>
        </w:numPr>
        <w:ind w:left="1080" w:hanging="360"/>
      </w:pPr>
      <w:r>
        <w:rPr>
          <w:rFonts w:ascii="Cambria" w:eastAsia="Cambria" w:hAnsi="Cambria" w:cs="Cambria"/>
          <w:color w:val="000000"/>
          <w:szCs w:val="24"/>
          <w:bdr w:val="nil"/>
          <w:lang w:val="fr-FR"/>
        </w:rPr>
        <w:t xml:space="preserve">À la clôture du </w:t>
      </w:r>
      <w:r>
        <w:rPr>
          <w:rFonts w:ascii="Cambria" w:eastAsia="Cambria" w:hAnsi="Cambria" w:cs="Cambria"/>
          <w:color w:val="000000"/>
          <w:szCs w:val="24"/>
          <w:bdr w:val="nil"/>
          <w:lang w:val="fr-FR"/>
        </w:rPr>
        <w:t>projet, fournir au propriétaire cinq gallons de chaque produit à des fins de retouche. Les bidons doivent être clairement identifiés avec le nom de la couleur, le numéro et le type de peinture.</w:t>
      </w:r>
    </w:p>
    <w:p w14:paraId="566F15AE" w14:textId="37C9A686" w:rsidR="006620FE" w:rsidRDefault="00B434C5" w:rsidP="002F4BD9">
      <w:pPr>
        <w:pStyle w:val="Heading2"/>
        <w:keepNext w:val="0"/>
        <w:numPr>
          <w:ilvl w:val="1"/>
          <w:numId w:val="21"/>
        </w:numPr>
        <w:ind w:left="1080" w:hanging="360"/>
      </w:pPr>
      <w:r>
        <w:rPr>
          <w:rFonts w:ascii="Cambria" w:eastAsia="Cambria" w:hAnsi="Cambria" w:cs="Cambria"/>
          <w:color w:val="000000"/>
          <w:szCs w:val="24"/>
          <w:bdr w:val="nil"/>
          <w:lang w:val="fr-FR"/>
        </w:rPr>
        <w:t>À la clôture du projet, fournissez le nom et le code de la combinaison de couleurs au propriétaire pour une correspondance précise des couleurs.</w:t>
      </w:r>
    </w:p>
    <w:p w14:paraId="3FFDFC82" w14:textId="77777777" w:rsidR="006620FE" w:rsidRPr="00BF25D3" w:rsidRDefault="006620FE" w:rsidP="002F4BD9"/>
    <w:p w14:paraId="0C0A5128" w14:textId="77777777" w:rsidR="004D0F1D" w:rsidRDefault="00B434C5" w:rsidP="002F4BD9">
      <w:pPr>
        <w:rPr>
          <w:rFonts w:ascii="Times New Roman" w:hAnsi="Times New Roman" w:cs="Times New Roman"/>
          <w:b/>
        </w:rPr>
      </w:pPr>
      <w:r>
        <w:rPr>
          <w:rFonts w:ascii="Times New Roman" w:eastAsia="Times New Roman" w:hAnsi="Times New Roman" w:cs="Times New Roman"/>
          <w:b/>
          <w:bCs/>
          <w:bdr w:val="nil"/>
          <w:lang w:val="fr-FR"/>
        </w:rPr>
        <w:t xml:space="preserve">PARTIE 2 - </w:t>
      </w:r>
      <w:r>
        <w:rPr>
          <w:rFonts w:ascii="Times New Roman" w:eastAsia="Times New Roman" w:hAnsi="Times New Roman" w:cs="Times New Roman"/>
          <w:b/>
          <w:bCs/>
          <w:bdr w:val="nil"/>
          <w:lang w:val="fr-FR"/>
        </w:rPr>
        <w:t>PRODUITS</w:t>
      </w:r>
    </w:p>
    <w:p w14:paraId="02D81F03" w14:textId="3ACE4D5B" w:rsidR="004D0F1D" w:rsidRDefault="004D0F1D" w:rsidP="002F4BD9">
      <w:pPr>
        <w:pStyle w:val="Heading1"/>
        <w:keepNext w:val="0"/>
        <w:keepLines w:val="0"/>
      </w:pPr>
    </w:p>
    <w:p w14:paraId="599A471F" w14:textId="77777777" w:rsidR="006F40E9" w:rsidRDefault="00B434C5" w:rsidP="002F4BD9">
      <w:pPr>
        <w:pStyle w:val="Heading1"/>
        <w:keepNext w:val="0"/>
        <w:keepLines w:val="0"/>
        <w:numPr>
          <w:ilvl w:val="0"/>
          <w:numId w:val="3"/>
        </w:numPr>
      </w:pPr>
      <w:r>
        <w:rPr>
          <w:rFonts w:ascii="Cambria" w:eastAsia="Cambria" w:hAnsi="Cambria" w:cs="Cambria"/>
          <w:color w:val="000000"/>
          <w:bdr w:val="nil"/>
          <w:lang w:val="fr-FR"/>
        </w:rPr>
        <w:t>MÉLANGE ET TEINTE</w:t>
      </w:r>
    </w:p>
    <w:p w14:paraId="0EA747A2" w14:textId="77777777" w:rsidR="006F40E9" w:rsidRDefault="00B434C5" w:rsidP="002F4BD9">
      <w:pPr>
        <w:pStyle w:val="Heading2"/>
        <w:keepNext w:val="0"/>
        <w:numPr>
          <w:ilvl w:val="1"/>
          <w:numId w:val="22"/>
        </w:numPr>
        <w:ind w:left="1080" w:hanging="360"/>
      </w:pPr>
      <w:r>
        <w:rPr>
          <w:rFonts w:ascii="Cambria" w:eastAsia="Cambria" w:hAnsi="Cambria" w:cs="Cambria"/>
          <w:color w:val="000000"/>
          <w:szCs w:val="24"/>
          <w:bdr w:val="nil"/>
          <w:lang w:val="fr-FR"/>
        </w:rPr>
        <w:t>Sauf indication contraire dans cette section, toutes les peintures doi</w:t>
      </w:r>
      <w:r>
        <w:rPr>
          <w:rFonts w:ascii="Cambria" w:eastAsia="Cambria" w:hAnsi="Cambria" w:cs="Cambria"/>
          <w:color w:val="000000"/>
          <w:szCs w:val="24"/>
          <w:bdr w:val="nil"/>
          <w:lang w:val="fr-FR"/>
        </w:rPr>
        <w:t>vent être pré-mélangées et pré-teintées. Agitez toute la peinture avant et pendant l'application pour assurer l'uniformité de couleur, brillance et consistance.</w:t>
      </w:r>
    </w:p>
    <w:p w14:paraId="4273BD63" w14:textId="77777777" w:rsidR="006F40E9" w:rsidRDefault="00B434C5" w:rsidP="002F4BD9">
      <w:pPr>
        <w:pStyle w:val="Heading2"/>
        <w:keepNext w:val="0"/>
        <w:numPr>
          <w:ilvl w:val="1"/>
          <w:numId w:val="22"/>
        </w:numPr>
        <w:ind w:left="1080" w:hanging="360"/>
      </w:pPr>
      <w:r>
        <w:rPr>
          <w:rFonts w:ascii="Cambria" w:eastAsia="Cambria" w:hAnsi="Cambria" w:cs="Cambria"/>
          <w:color w:val="000000"/>
          <w:szCs w:val="24"/>
          <w:bdr w:val="nil"/>
          <w:lang w:val="fr-FR"/>
        </w:rPr>
        <w:t xml:space="preserve">L'ajout de </w:t>
      </w:r>
      <w:r>
        <w:rPr>
          <w:rFonts w:ascii="Cambria" w:eastAsia="Cambria" w:hAnsi="Cambria" w:cs="Cambria"/>
          <w:color w:val="000000"/>
          <w:szCs w:val="24"/>
          <w:bdr w:val="nil"/>
          <w:lang w:val="fr-FR"/>
        </w:rPr>
        <w:t>diluant ne doit pas dépasser les recommandations indiquées par le fabricant. N'utilisez pas de kérosène ou d'autres solvants organiques pour diluer les peintures à base d'eau.</w:t>
      </w:r>
    </w:p>
    <w:p w14:paraId="6D3546E5" w14:textId="77777777" w:rsidR="006F40E9" w:rsidRDefault="00B434C5" w:rsidP="002F4BD9">
      <w:pPr>
        <w:pStyle w:val="Heading2"/>
        <w:keepNext w:val="0"/>
        <w:numPr>
          <w:ilvl w:val="1"/>
          <w:numId w:val="22"/>
        </w:numPr>
        <w:ind w:left="1080" w:hanging="360"/>
      </w:pPr>
      <w:r>
        <w:rPr>
          <w:rFonts w:ascii="Cambria" w:eastAsia="Cambria" w:hAnsi="Cambria" w:cs="Cambria"/>
          <w:color w:val="000000"/>
          <w:szCs w:val="24"/>
          <w:bdr w:val="nil"/>
          <w:lang w:val="fr-FR"/>
        </w:rPr>
        <w:t>S</w:t>
      </w:r>
      <w:r>
        <w:rPr>
          <w:rFonts w:ascii="Cambria" w:eastAsia="Cambria" w:hAnsi="Cambria" w:cs="Cambria"/>
          <w:color w:val="000000"/>
          <w:szCs w:val="24"/>
          <w:bdr w:val="nil"/>
          <w:lang w:val="fr-FR"/>
        </w:rPr>
        <w:t>i la peinture doit être pulvérisée, diluer conformément aux directives du fabricant en vigueur.</w:t>
      </w:r>
    </w:p>
    <w:p w14:paraId="382A6166" w14:textId="12413A21" w:rsidR="004D0F1D" w:rsidRDefault="004D0F1D" w:rsidP="002F4BD9">
      <w:pPr>
        <w:pStyle w:val="Heading2"/>
        <w:keepNext w:val="0"/>
        <w:numPr>
          <w:ilvl w:val="0"/>
          <w:numId w:val="0"/>
        </w:numPr>
        <w:ind w:left="720"/>
      </w:pPr>
    </w:p>
    <w:p w14:paraId="1024BD9A" w14:textId="560D73DC" w:rsidR="006F40E9" w:rsidRDefault="00B434C5" w:rsidP="002F4BD9">
      <w:pPr>
        <w:pStyle w:val="Heading1"/>
        <w:keepNext w:val="0"/>
        <w:keepLines w:val="0"/>
        <w:numPr>
          <w:ilvl w:val="0"/>
          <w:numId w:val="3"/>
        </w:numPr>
      </w:pPr>
      <w:r>
        <w:rPr>
          <w:rFonts w:ascii="Cambria" w:eastAsia="Cambria" w:hAnsi="Cambria" w:cs="Cambria"/>
          <w:color w:val="000000"/>
          <w:bdr w:val="nil"/>
          <w:lang w:val="fr-FR"/>
        </w:rPr>
        <w:t>CALENDRIER DE PEINTURE EXTÉRIEURE</w:t>
      </w:r>
    </w:p>
    <w:p w14:paraId="54FB16A4" w14:textId="77777777" w:rsidR="006F40E9" w:rsidRPr="006F40E9" w:rsidRDefault="00B434C5" w:rsidP="002F4BD9">
      <w:pPr>
        <w:pStyle w:val="Heading2"/>
        <w:keepNext w:val="0"/>
        <w:numPr>
          <w:ilvl w:val="1"/>
          <w:numId w:val="23"/>
        </w:numPr>
      </w:pPr>
      <w:r>
        <w:rPr>
          <w:rFonts w:ascii="Cambria" w:eastAsia="Cambria" w:hAnsi="Cambria" w:cs="Cambria"/>
          <w:color w:val="000000"/>
          <w:szCs w:val="24"/>
          <w:bdr w:val="nil"/>
          <w:lang w:val="fr-FR"/>
        </w:rPr>
        <w:t>Système commercial à base d'eau : (une couche d'apprêt et deux couches de finition)</w:t>
      </w:r>
    </w:p>
    <w:p w14:paraId="0FC77301" w14:textId="04DD9A96" w:rsidR="006F40E9" w:rsidRPr="002F4BD9" w:rsidRDefault="00B434C5" w:rsidP="002F4BD9">
      <w:pPr>
        <w:pStyle w:val="Heading3"/>
        <w:keepNext w:val="0"/>
        <w:keepLines w:val="0"/>
        <w:numPr>
          <w:ilvl w:val="2"/>
          <w:numId w:val="5"/>
        </w:numPr>
        <w:ind w:left="1890" w:hanging="450"/>
        <w:rPr>
          <w:lang w:val="es-ES"/>
        </w:rPr>
      </w:pPr>
      <w:r>
        <w:rPr>
          <w:rFonts w:ascii="Cambria" w:eastAsia="Cambria" w:hAnsi="Cambria" w:cs="Cambria"/>
          <w:color w:val="000000"/>
          <w:bdr w:val="nil"/>
          <w:lang w:val="fr-FR"/>
        </w:rPr>
        <w:t>Apprêt : apprêt universel pour métaux (400 g/l).</w:t>
      </w:r>
    </w:p>
    <w:p w14:paraId="5165D6A5" w14:textId="4F0EC663" w:rsidR="006F40E9" w:rsidRPr="006F40E9" w:rsidRDefault="00B434C5" w:rsidP="002F4BD9">
      <w:pPr>
        <w:pStyle w:val="Heading3"/>
        <w:keepNext w:val="0"/>
        <w:keepLines w:val="0"/>
        <w:numPr>
          <w:ilvl w:val="2"/>
          <w:numId w:val="5"/>
        </w:numPr>
        <w:ind w:left="1890" w:hanging="450"/>
      </w:pPr>
      <w:r>
        <w:rPr>
          <w:rFonts w:ascii="Cambria" w:eastAsia="Cambria" w:hAnsi="Cambria" w:cs="Cambria"/>
          <w:color w:val="000000"/>
          <w:bdr w:val="nil"/>
          <w:lang w:val="fr-FR"/>
        </w:rPr>
        <w:lastRenderedPageBreak/>
        <w:t>Finition : alkyde semi-lustré (396 g/l).</w:t>
      </w:r>
    </w:p>
    <w:p w14:paraId="560B726A" w14:textId="77777777" w:rsidR="004D0F1D" w:rsidRDefault="004D0F1D" w:rsidP="002F4BD9">
      <w:pPr>
        <w:rPr>
          <w:rFonts w:ascii="Times New Roman" w:hAnsi="Times New Roman" w:cs="Times New Roman"/>
        </w:rPr>
      </w:pPr>
    </w:p>
    <w:p w14:paraId="10312A52" w14:textId="77777777" w:rsidR="004D0F1D" w:rsidRDefault="00B434C5" w:rsidP="002F4BD9">
      <w:pPr>
        <w:rPr>
          <w:rFonts w:ascii="Times New Roman" w:hAnsi="Times New Roman" w:cs="Times New Roman"/>
          <w:b/>
        </w:rPr>
      </w:pPr>
      <w:r>
        <w:rPr>
          <w:rFonts w:ascii="Times New Roman" w:eastAsia="Times New Roman" w:hAnsi="Times New Roman" w:cs="Times New Roman"/>
          <w:b/>
          <w:bCs/>
          <w:bdr w:val="nil"/>
          <w:lang w:val="fr-FR"/>
        </w:rPr>
        <w:t>PARTIE 3 - EXÉCUTION</w:t>
      </w:r>
    </w:p>
    <w:p w14:paraId="3A276D0C" w14:textId="77777777" w:rsidR="00D57A56" w:rsidRPr="002F4BD9" w:rsidRDefault="00B434C5" w:rsidP="002F4BD9">
      <w:pPr>
        <w:pStyle w:val="ARCATArticle"/>
        <w:numPr>
          <w:ilvl w:val="0"/>
          <w:numId w:val="14"/>
        </w:numPr>
        <w:rPr>
          <w:rFonts w:asciiTheme="majorHAnsi" w:hAnsiTheme="majorHAnsi"/>
          <w:sz w:val="24"/>
          <w:szCs w:val="24"/>
        </w:rPr>
      </w:pPr>
      <w:r>
        <w:rPr>
          <w:rFonts w:ascii="Cambria" w:eastAsia="Cambria" w:hAnsi="Cambria" w:cs="Cambria"/>
          <w:sz w:val="24"/>
          <w:szCs w:val="24"/>
          <w:bdr w:val="nil"/>
          <w:lang w:val="fr-FR"/>
        </w:rPr>
        <w:t>EXAMEN</w:t>
      </w:r>
    </w:p>
    <w:p w14:paraId="158F3EDD" w14:textId="1298A820"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 xml:space="preserve">Le sous-traitant doit étudier les instructions spéciales du fabricant du produit concernant la préparation de la surface, l'application, </w:t>
      </w:r>
      <w:r>
        <w:rPr>
          <w:rFonts w:ascii="Cambria" w:eastAsia="Cambria" w:hAnsi="Cambria" w:cs="Cambria"/>
          <w:color w:val="000000"/>
          <w:szCs w:val="24"/>
          <w:bdr w:val="nil"/>
          <w:lang w:val="fr-FR"/>
        </w:rPr>
        <w:t>la température, les temps de re-vernissage et les limites du produit.</w:t>
      </w:r>
    </w:p>
    <w:p w14:paraId="336B69D2" w14:textId="5C2A1DE6"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Le sous-traitant doit étudier les précautions à prendre pour la santé et la sécurité du produit énumérées p</w:t>
      </w:r>
      <w:r>
        <w:rPr>
          <w:rFonts w:ascii="Cambria" w:eastAsia="Cambria" w:hAnsi="Cambria" w:cs="Cambria"/>
          <w:color w:val="000000"/>
          <w:szCs w:val="24"/>
          <w:bdr w:val="nil"/>
          <w:lang w:val="fr-FR"/>
        </w:rPr>
        <w:t>ar le fabricant.</w:t>
      </w:r>
    </w:p>
    <w:p w14:paraId="3AC76658" w14:textId="42ECF430"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Le sous-traitant sera responsable de l'application sur le site des exigences de santé et de sécurité associées aux travaux.</w:t>
      </w:r>
    </w:p>
    <w:p w14:paraId="0EAE1BA2" w14:textId="77777777"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Ne commencez pas l'installation tant que les substrats n'ont pas été correctement préparés.</w:t>
      </w:r>
    </w:p>
    <w:p w14:paraId="4866CB46" w14:textId="77777777"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Assurez-vous que les surfaces devant recev</w:t>
      </w:r>
      <w:r>
        <w:rPr>
          <w:rFonts w:ascii="Cambria" w:eastAsia="Cambria" w:hAnsi="Cambria" w:cs="Cambria"/>
          <w:color w:val="000000"/>
          <w:szCs w:val="24"/>
          <w:bdr w:val="nil"/>
          <w:lang w:val="fr-FR"/>
        </w:rPr>
        <w:t>oir la peinture sont sèches immédiatement avant l'application.</w:t>
      </w:r>
    </w:p>
    <w:p w14:paraId="2A9129D4" w14:textId="42BD2526"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Assurez-vous que les supports retenant l'humidité qui reçoivent la peinture ont une teneur en humidité dans les to</w:t>
      </w:r>
      <w:r>
        <w:rPr>
          <w:rFonts w:ascii="Cambria" w:eastAsia="Cambria" w:hAnsi="Cambria" w:cs="Cambria"/>
          <w:color w:val="000000"/>
          <w:szCs w:val="24"/>
          <w:bdr w:val="nil"/>
          <w:lang w:val="fr-FR"/>
        </w:rPr>
        <w:t>lérances autorisées par le fabricant du revêtement. Si vous dépassez les valeurs suivantes, avertissez tout de suite l'ingénieur et attendez les directives avant de commencer les travaux.</w:t>
      </w:r>
    </w:p>
    <w:p w14:paraId="543198FF" w14:textId="77777777"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Examiner les surfaces devant être revêtus afin de détecter les imperfections de surface et les contaminants susceptibles de nuire à la performance ou à l'apparence des revêtements, y compris, sans toutefois s'y limiter, apprêts détachés, rouille</w:t>
      </w:r>
      <w:r>
        <w:rPr>
          <w:rFonts w:ascii="Cambria" w:eastAsia="Cambria" w:hAnsi="Cambria" w:cs="Cambria"/>
          <w:color w:val="000000"/>
          <w:szCs w:val="24"/>
          <w:bdr w:val="nil"/>
          <w:lang w:val="fr-FR"/>
        </w:rPr>
        <w:t>, tartre, huile, graisse, champignons, algues ou abrasions.</w:t>
      </w:r>
    </w:p>
    <w:p w14:paraId="0DC7470E" w14:textId="77777777" w:rsidR="00D57A56" w:rsidRDefault="00B434C5" w:rsidP="002F4BD9">
      <w:pPr>
        <w:pStyle w:val="Heading2"/>
        <w:keepNext w:val="0"/>
        <w:numPr>
          <w:ilvl w:val="1"/>
          <w:numId w:val="24"/>
        </w:numPr>
        <w:ind w:left="1080" w:hanging="360"/>
      </w:pPr>
      <w:r>
        <w:rPr>
          <w:rFonts w:ascii="Cambria" w:eastAsia="Cambria" w:hAnsi="Cambria" w:cs="Cambria"/>
          <w:color w:val="000000"/>
          <w:szCs w:val="24"/>
          <w:bdr w:val="nil"/>
          <w:lang w:val="fr-FR"/>
        </w:rPr>
        <w:t xml:space="preserve">Corrigez les conditions qui pourraient nuire au performance ou à l'apparence des revêtements conformément aux </w:t>
      </w:r>
      <w:r>
        <w:rPr>
          <w:rFonts w:ascii="Cambria" w:eastAsia="Cambria" w:hAnsi="Cambria" w:cs="Cambria"/>
          <w:color w:val="000000"/>
          <w:szCs w:val="24"/>
          <w:bdr w:val="nil"/>
          <w:lang w:val="fr-FR"/>
        </w:rPr>
        <w:t>procédures de préparation de surface spécifiées avant de procéder à l'application du revêtement.</w:t>
      </w:r>
    </w:p>
    <w:p w14:paraId="30FDA473" w14:textId="77777777" w:rsidR="00D57A56" w:rsidRDefault="00B434C5" w:rsidP="00B77B19">
      <w:pPr>
        <w:pStyle w:val="ARCATArticle"/>
        <w:keepNext/>
        <w:numPr>
          <w:ilvl w:val="0"/>
          <w:numId w:val="14"/>
        </w:numPr>
      </w:pPr>
      <w:r>
        <w:rPr>
          <w:rFonts w:ascii="Cambria" w:eastAsia="Cambria" w:hAnsi="Cambria" w:cs="Cambria"/>
          <w:sz w:val="24"/>
          <w:szCs w:val="24"/>
          <w:bdr w:val="nil"/>
          <w:lang w:val="fr-FR"/>
        </w:rPr>
        <w:t>PRÉPARATION - GÉNÉRA</w:t>
      </w:r>
      <w:r>
        <w:rPr>
          <w:rFonts w:eastAsia="Arial"/>
          <w:bdr w:val="nil"/>
          <w:lang w:val="fr-FR"/>
        </w:rPr>
        <w:t>L</w:t>
      </w:r>
    </w:p>
    <w:p w14:paraId="0D9AAABE" w14:textId="77777777" w:rsidR="00D57A56" w:rsidRDefault="00B434C5" w:rsidP="00B77B19">
      <w:pPr>
        <w:pStyle w:val="Heading2"/>
        <w:numPr>
          <w:ilvl w:val="1"/>
          <w:numId w:val="28"/>
        </w:numPr>
      </w:pPr>
      <w:r>
        <w:rPr>
          <w:rFonts w:ascii="Cambria" w:eastAsia="Cambria" w:hAnsi="Cambria" w:cs="Cambria"/>
          <w:color w:val="000000"/>
          <w:szCs w:val="24"/>
          <w:bdr w:val="nil"/>
          <w:lang w:val="fr-FR"/>
        </w:rPr>
        <w:t>Nettoyer soigneusement les surfaces avant l'application du revêtement.</w:t>
      </w:r>
    </w:p>
    <w:p w14:paraId="01950222" w14:textId="77777777" w:rsidR="00D57A56" w:rsidRDefault="00B434C5" w:rsidP="002F4BD9">
      <w:pPr>
        <w:pStyle w:val="Heading2"/>
        <w:keepNext w:val="0"/>
        <w:numPr>
          <w:ilvl w:val="1"/>
          <w:numId w:val="28"/>
        </w:numPr>
        <w:ind w:left="1080" w:hanging="360"/>
      </w:pPr>
      <w:r>
        <w:rPr>
          <w:rFonts w:ascii="Cambria" w:eastAsia="Cambria" w:hAnsi="Cambria" w:cs="Cambria"/>
          <w:color w:val="000000"/>
          <w:szCs w:val="24"/>
          <w:bdr w:val="nil"/>
          <w:lang w:val="fr-FR"/>
        </w:rPr>
        <w:t>Ne commencez pas le travail avant que les surfaces à finir ne soient en bon état pour produire des surfaces finies d'aspect uniforme et satisfaisant.</w:t>
      </w:r>
    </w:p>
    <w:p w14:paraId="2C0404B1" w14:textId="77777777" w:rsidR="00D57A56" w:rsidRDefault="00B434C5" w:rsidP="002F4BD9">
      <w:pPr>
        <w:pStyle w:val="Heading2"/>
        <w:keepNext w:val="0"/>
        <w:numPr>
          <w:ilvl w:val="1"/>
          <w:numId w:val="28"/>
        </w:numPr>
        <w:ind w:left="1080" w:hanging="360"/>
      </w:pPr>
      <w:r>
        <w:rPr>
          <w:rFonts w:ascii="Cambria" w:eastAsia="Cambria" w:hAnsi="Cambria" w:cs="Cambria"/>
          <w:color w:val="000000"/>
          <w:szCs w:val="24"/>
          <w:bdr w:val="nil"/>
          <w:lang w:val="fr-FR"/>
        </w:rPr>
        <w:t>Enlevez poussière et particules des surfaces devant recevoir les revêtements immédiatement avant l'application.</w:t>
      </w:r>
    </w:p>
    <w:p w14:paraId="3134BC17" w14:textId="77777777" w:rsidR="00D57A56" w:rsidRDefault="00B434C5" w:rsidP="002F4BD9">
      <w:pPr>
        <w:pStyle w:val="Heading2"/>
        <w:keepNext w:val="0"/>
        <w:numPr>
          <w:ilvl w:val="1"/>
          <w:numId w:val="28"/>
        </w:numPr>
        <w:ind w:left="1080" w:hanging="360"/>
      </w:pPr>
      <w:r>
        <w:rPr>
          <w:rFonts w:ascii="Cambria" w:eastAsia="Cambria" w:hAnsi="Cambria" w:cs="Cambria"/>
          <w:color w:val="000000"/>
          <w:szCs w:val="24"/>
          <w:bdr w:val="nil"/>
          <w:lang w:val="fr-FR"/>
        </w:rPr>
        <w:t>Enlevez ou protégez le matériel, les p</w:t>
      </w:r>
      <w:r>
        <w:rPr>
          <w:rFonts w:ascii="Cambria" w:eastAsia="Cambria" w:hAnsi="Cambria" w:cs="Cambria"/>
          <w:color w:val="000000"/>
          <w:szCs w:val="24"/>
          <w:bdr w:val="nil"/>
          <w:lang w:val="fr-FR"/>
        </w:rPr>
        <w:t>laques d’équipement électrique, les grilles et les déflecteurs mécaniques, les moulures des appareils d’éclairage et autres éléments adjacents n'ayant pas à recevoir de revêtement.</w:t>
      </w:r>
    </w:p>
    <w:p w14:paraId="4F208443" w14:textId="77777777" w:rsidR="00D57A56" w:rsidRDefault="00B434C5" w:rsidP="002F4BD9">
      <w:pPr>
        <w:pStyle w:val="Heading2"/>
        <w:keepNext w:val="0"/>
        <w:numPr>
          <w:ilvl w:val="1"/>
          <w:numId w:val="28"/>
        </w:numPr>
        <w:ind w:left="1080" w:hanging="360"/>
      </w:pPr>
      <w:r>
        <w:rPr>
          <w:rFonts w:ascii="Cambria" w:eastAsia="Cambria" w:hAnsi="Cambria" w:cs="Cambria"/>
          <w:color w:val="000000"/>
          <w:szCs w:val="24"/>
          <w:bdr w:val="nil"/>
          <w:lang w:val="fr-FR"/>
        </w:rPr>
        <w:t>Déplacez ou protégez le matériel et les installations adjacentes aux surfaces devant recevoir les revêtements afin de permettre l'application de revêtements.</w:t>
      </w:r>
    </w:p>
    <w:p w14:paraId="2D7EEA3D" w14:textId="77777777" w:rsidR="00D57A56" w:rsidRDefault="00B434C5" w:rsidP="002F4BD9">
      <w:pPr>
        <w:pStyle w:val="Heading2"/>
        <w:keepNext w:val="0"/>
        <w:numPr>
          <w:ilvl w:val="1"/>
          <w:numId w:val="28"/>
        </w:numPr>
        <w:ind w:left="1080" w:hanging="360"/>
      </w:pPr>
      <w:r>
        <w:rPr>
          <w:rFonts w:ascii="Cambria" w:eastAsia="Cambria" w:hAnsi="Cambria" w:cs="Cambria"/>
          <w:color w:val="000000"/>
          <w:szCs w:val="24"/>
          <w:bdr w:val="nil"/>
          <w:lang w:val="fr-FR"/>
        </w:rPr>
        <w:lastRenderedPageBreak/>
        <w:t>Protéger les su</w:t>
      </w:r>
      <w:r>
        <w:rPr>
          <w:rFonts w:ascii="Cambria" w:eastAsia="Cambria" w:hAnsi="Cambria" w:cs="Cambria"/>
          <w:color w:val="000000"/>
          <w:szCs w:val="24"/>
          <w:bdr w:val="nil"/>
          <w:lang w:val="fr-FR"/>
        </w:rPr>
        <w:t>rfaces adjacentes qui n'auront pas à recevoir des revêtement.</w:t>
      </w:r>
    </w:p>
    <w:p w14:paraId="434CE584" w14:textId="77777777" w:rsidR="00D57A56" w:rsidRPr="002F4BD9" w:rsidRDefault="00B434C5" w:rsidP="002F4BD9">
      <w:pPr>
        <w:pStyle w:val="ARCATArticle"/>
        <w:numPr>
          <w:ilvl w:val="0"/>
          <w:numId w:val="14"/>
        </w:numPr>
        <w:rPr>
          <w:rFonts w:asciiTheme="majorHAnsi" w:hAnsiTheme="majorHAnsi"/>
          <w:sz w:val="24"/>
          <w:szCs w:val="24"/>
        </w:rPr>
      </w:pPr>
      <w:r>
        <w:rPr>
          <w:rFonts w:ascii="Cambria" w:eastAsia="Cambria" w:hAnsi="Cambria" w:cs="Cambria"/>
          <w:sz w:val="24"/>
          <w:szCs w:val="24"/>
          <w:bdr w:val="nil"/>
          <w:lang w:val="fr-FR"/>
        </w:rPr>
        <w:t>PRÉPARATION DE SURFACE</w:t>
      </w:r>
    </w:p>
    <w:p w14:paraId="0C408BD2" w14:textId="1EC1C74D" w:rsidR="00D57A56" w:rsidRDefault="00B434C5" w:rsidP="002F4BD9">
      <w:pPr>
        <w:pStyle w:val="Heading2"/>
        <w:keepNext w:val="0"/>
        <w:numPr>
          <w:ilvl w:val="1"/>
          <w:numId w:val="30"/>
        </w:numPr>
        <w:ind w:left="1080" w:hanging="360"/>
      </w:pPr>
      <w:r>
        <w:rPr>
          <w:rFonts w:ascii="Cambria" w:eastAsia="Cambria" w:hAnsi="Cambria" w:cs="Cambria"/>
          <w:color w:val="000000"/>
          <w:szCs w:val="24"/>
          <w:bdr w:val="nil"/>
          <w:lang w:val="fr-FR"/>
        </w:rPr>
        <w:t>Métaux: Enlev</w:t>
      </w:r>
      <w:r>
        <w:rPr>
          <w:rFonts w:ascii="Cambria" w:eastAsia="Cambria" w:hAnsi="Cambria" w:cs="Cambria"/>
          <w:color w:val="000000"/>
          <w:szCs w:val="24"/>
          <w:bdr w:val="nil"/>
          <w:lang w:val="fr-FR"/>
        </w:rPr>
        <w:t>ez la rouille ou le tartre, le cas échéant, en utilisant une brosse métallique, un outil électrique ou un sablage au jet ; éliminer la graisse, l'huile et autres contaminants susceptibles de nuire à la performance ou à l'apparence du revêtement lors du net</w:t>
      </w:r>
      <w:r>
        <w:rPr>
          <w:rFonts w:ascii="Cambria" w:eastAsia="Cambria" w:hAnsi="Cambria" w:cs="Cambria"/>
          <w:color w:val="000000"/>
          <w:szCs w:val="24"/>
          <w:bdr w:val="nil"/>
          <w:lang w:val="fr-FR"/>
        </w:rPr>
        <w:t>toyage au solvant, avec le nettoyage en solution d'acide phosphorique des soudures, boulons et écrous ; amorcez les soudures réparées avec l'apprêt spécifié.</w:t>
      </w:r>
    </w:p>
    <w:p w14:paraId="67BD9811" w14:textId="77777777" w:rsidR="00D57A56" w:rsidRPr="002F4BD9" w:rsidRDefault="00B434C5" w:rsidP="002F4BD9">
      <w:pPr>
        <w:pStyle w:val="ARCATArticle"/>
        <w:numPr>
          <w:ilvl w:val="0"/>
          <w:numId w:val="14"/>
        </w:numPr>
        <w:rPr>
          <w:rFonts w:asciiTheme="majorHAnsi" w:hAnsiTheme="majorHAnsi"/>
          <w:sz w:val="24"/>
          <w:szCs w:val="24"/>
        </w:rPr>
      </w:pPr>
      <w:r>
        <w:rPr>
          <w:rFonts w:ascii="Cambria" w:eastAsia="Cambria" w:hAnsi="Cambria" w:cs="Cambria"/>
          <w:sz w:val="24"/>
          <w:szCs w:val="24"/>
          <w:bdr w:val="nil"/>
          <w:lang w:val="fr-FR"/>
        </w:rPr>
        <w:t>APPLICATION - GÉNÉR</w:t>
      </w:r>
      <w:r>
        <w:rPr>
          <w:rFonts w:ascii="Cambria" w:eastAsia="Cambria" w:hAnsi="Cambria" w:cs="Cambria"/>
          <w:sz w:val="24"/>
          <w:szCs w:val="24"/>
          <w:bdr w:val="nil"/>
          <w:lang w:val="fr-FR"/>
        </w:rPr>
        <w:t>AL</w:t>
      </w:r>
    </w:p>
    <w:p w14:paraId="6F7FB564"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Appliquer chaque couche sur une épaisseur uniforme conformément aux instructions du fabricant, sans dépasser le taux d'étalement maximal spécifié par le fabricant pour la sur</w:t>
      </w:r>
      <w:r>
        <w:rPr>
          <w:rFonts w:ascii="Cambria" w:eastAsia="Cambria" w:hAnsi="Cambria" w:cs="Cambria"/>
          <w:color w:val="000000"/>
          <w:szCs w:val="24"/>
          <w:bdr w:val="nil"/>
          <w:lang w:val="fr-FR"/>
        </w:rPr>
        <w:t>face indiquée ; des couches trop minces, des traces de pinceau ou de rouleau, peau d'orange ou autres imperfections d'application sont interdits.</w:t>
      </w:r>
    </w:p>
    <w:p w14:paraId="115EA8C7"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Respectez le temps de séchage s</w:t>
      </w:r>
      <w:r>
        <w:rPr>
          <w:rFonts w:ascii="Cambria" w:eastAsia="Cambria" w:hAnsi="Cambria" w:cs="Cambria"/>
          <w:color w:val="000000"/>
          <w:szCs w:val="24"/>
          <w:bdr w:val="nil"/>
          <w:lang w:val="fr-FR"/>
        </w:rPr>
        <w:t>pécifié par le fabricant et assurez-vous que le revêtement adhère correctement avant d'appliquer la couche suivante.</w:t>
      </w:r>
    </w:p>
    <w:p w14:paraId="777DA00C"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Inspectez chaque couche avant d'appliquer la couche suivante</w:t>
      </w:r>
      <w:r>
        <w:rPr>
          <w:rFonts w:ascii="Cambria" w:eastAsia="Cambria" w:hAnsi="Cambria" w:cs="Cambria"/>
          <w:color w:val="000000"/>
          <w:szCs w:val="24"/>
          <w:bdr w:val="nil"/>
          <w:lang w:val="fr-FR"/>
        </w:rPr>
        <w:t>. Retouchez les imperfections de la surface avec le matériau de revêtement, le nivelage et le ponçage si nécessaire ; retouchez au besoin pour obtenir une surface plane et uniforme sans défauts de surface visibles à partir de 5 pieds (1,5 m).</w:t>
      </w:r>
    </w:p>
    <w:p w14:paraId="2971F0AF"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Enlevez la poussière et autres matières étrangères du substrat immédiatement avant d'appliquer chaque couche.</w:t>
      </w:r>
    </w:p>
    <w:p w14:paraId="132B3B06"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L</w:t>
      </w:r>
      <w:r>
        <w:rPr>
          <w:rFonts w:ascii="Cambria" w:eastAsia="Cambria" w:hAnsi="Cambria" w:cs="Cambria"/>
          <w:color w:val="000000"/>
          <w:szCs w:val="24"/>
          <w:bdr w:val="nil"/>
          <w:lang w:val="fr-FR"/>
        </w:rPr>
        <w:t>orsque l'application de peinture d'adosse à d'autres matériaux ou d'autres couleurs de revêtement, terminez le revêtement avec une ligne de terminaison nette et propre, sans chevauchement de revêtement.</w:t>
      </w:r>
    </w:p>
    <w:p w14:paraId="72D96958" w14:textId="77777777" w:rsidR="00D57A56" w:rsidRDefault="00B434C5" w:rsidP="002F4BD9">
      <w:pPr>
        <w:pStyle w:val="Heading2"/>
        <w:keepNext w:val="0"/>
        <w:numPr>
          <w:ilvl w:val="1"/>
          <w:numId w:val="32"/>
        </w:numPr>
        <w:ind w:left="1080" w:hanging="360"/>
      </w:pPr>
      <w:r>
        <w:rPr>
          <w:rFonts w:ascii="Cambria" w:eastAsia="Cambria" w:hAnsi="Cambria" w:cs="Cambria"/>
          <w:color w:val="000000"/>
          <w:szCs w:val="24"/>
          <w:bdr w:val="nil"/>
          <w:lang w:val="fr-FR"/>
        </w:rPr>
        <w:t>Re-préparer et re-couvrir les finis non satisfaisants ; remettre en état toute la zone jusqu'au coins ou autres terminaisons naturelles.</w:t>
      </w:r>
    </w:p>
    <w:p w14:paraId="19AB460A" w14:textId="77777777" w:rsidR="00D57A56" w:rsidRPr="002F4BD9" w:rsidRDefault="00B434C5" w:rsidP="00B77B19">
      <w:pPr>
        <w:pStyle w:val="ARCATArticle"/>
        <w:keepNext/>
        <w:numPr>
          <w:ilvl w:val="0"/>
          <w:numId w:val="14"/>
        </w:numPr>
        <w:rPr>
          <w:rFonts w:asciiTheme="majorHAnsi" w:hAnsiTheme="majorHAnsi"/>
          <w:sz w:val="24"/>
          <w:szCs w:val="24"/>
        </w:rPr>
      </w:pPr>
      <w:r>
        <w:rPr>
          <w:rFonts w:ascii="Cambria" w:eastAsia="Cambria" w:hAnsi="Cambria" w:cs="Cambria"/>
          <w:sz w:val="24"/>
          <w:szCs w:val="24"/>
          <w:bdr w:val="nil"/>
          <w:lang w:val="fr-FR"/>
        </w:rPr>
        <w:t>NETTOYAGE</w:t>
      </w:r>
    </w:p>
    <w:p w14:paraId="5AAAA4DB" w14:textId="77777777" w:rsidR="00D57A56" w:rsidRDefault="00B434C5" w:rsidP="00B77B19">
      <w:pPr>
        <w:pStyle w:val="Heading2"/>
        <w:numPr>
          <w:ilvl w:val="1"/>
          <w:numId w:val="35"/>
        </w:numPr>
        <w:tabs>
          <w:tab w:val="left" w:pos="900"/>
        </w:tabs>
        <w:ind w:left="1080" w:hanging="360"/>
      </w:pPr>
      <w:r>
        <w:rPr>
          <w:rFonts w:ascii="Cambria" w:eastAsia="Cambria" w:hAnsi="Cambria" w:cs="Cambria"/>
          <w:color w:val="000000"/>
          <w:szCs w:val="24"/>
          <w:bdr w:val="nil"/>
          <w:lang w:val="fr-FR"/>
        </w:rPr>
        <w:t xml:space="preserve">Nettoyez les matériaux de revêtement en excès et les matériaux de revêtement versés sur les surfaces non désignées pour recevoir les revêtements, au fur et à mesure de la </w:t>
      </w:r>
      <w:r>
        <w:rPr>
          <w:rFonts w:ascii="Cambria" w:eastAsia="Cambria" w:hAnsi="Cambria" w:cs="Cambria"/>
          <w:color w:val="000000"/>
          <w:szCs w:val="24"/>
          <w:bdr w:val="nil"/>
          <w:lang w:val="fr-FR"/>
        </w:rPr>
        <w:t>progression des activités de construction de cette section ; ne pas laisser sécher.</w:t>
      </w:r>
    </w:p>
    <w:p w14:paraId="5F833A60" w14:textId="77777777" w:rsidR="00D57A56" w:rsidRDefault="00B434C5" w:rsidP="002F4BD9">
      <w:pPr>
        <w:pStyle w:val="Heading2"/>
        <w:keepNext w:val="0"/>
        <w:numPr>
          <w:ilvl w:val="1"/>
          <w:numId w:val="35"/>
        </w:numPr>
        <w:ind w:left="1080" w:hanging="360"/>
      </w:pPr>
      <w:r>
        <w:rPr>
          <w:rFonts w:ascii="Cambria" w:eastAsia="Cambria" w:hAnsi="Cambria" w:cs="Cambria"/>
          <w:color w:val="000000"/>
          <w:szCs w:val="24"/>
          <w:bdr w:val="nil"/>
          <w:lang w:val="fr-FR"/>
        </w:rPr>
        <w:t>Re-installez  le matériel, les plaques d’équipement électrique, les grilles et les déflecteur</w:t>
      </w:r>
      <w:r>
        <w:rPr>
          <w:rFonts w:ascii="Cambria" w:eastAsia="Cambria" w:hAnsi="Cambria" w:cs="Cambria"/>
          <w:color w:val="000000"/>
          <w:szCs w:val="24"/>
          <w:bdr w:val="nil"/>
          <w:lang w:val="fr-FR"/>
        </w:rPr>
        <w:t>s mécaniques, les moulures des appareils d’éclairage et autres éléments adjacents ayant été enlevés auparavant pour les protéger du contact avec les revêtements.</w:t>
      </w:r>
    </w:p>
    <w:p w14:paraId="48636664" w14:textId="77777777" w:rsidR="00D57A56" w:rsidRDefault="00B434C5" w:rsidP="002F4BD9">
      <w:pPr>
        <w:pStyle w:val="Heading2"/>
        <w:keepNext w:val="0"/>
        <w:numPr>
          <w:ilvl w:val="1"/>
          <w:numId w:val="35"/>
        </w:numPr>
        <w:ind w:left="1080" w:hanging="360"/>
      </w:pPr>
      <w:r>
        <w:rPr>
          <w:rFonts w:ascii="Cambria" w:eastAsia="Cambria" w:hAnsi="Cambria" w:cs="Cambria"/>
          <w:color w:val="000000"/>
          <w:szCs w:val="24"/>
          <w:bdr w:val="nil"/>
          <w:lang w:val="fr-FR"/>
        </w:rPr>
        <w:lastRenderedPageBreak/>
        <w:t xml:space="preserve">Rebranchez les </w:t>
      </w:r>
      <w:r>
        <w:rPr>
          <w:rFonts w:ascii="Cambria" w:eastAsia="Cambria" w:hAnsi="Cambria" w:cs="Cambria"/>
          <w:color w:val="000000"/>
          <w:szCs w:val="24"/>
          <w:bdr w:val="nil"/>
          <w:lang w:val="fr-FR"/>
        </w:rPr>
        <w:t>équipements adjacents aux surfaces indiquées pour recevoir les revêtements.</w:t>
      </w:r>
    </w:p>
    <w:p w14:paraId="285BEB49" w14:textId="77777777" w:rsidR="00D57A56" w:rsidRDefault="00B434C5" w:rsidP="002F4BD9">
      <w:pPr>
        <w:pStyle w:val="Heading2"/>
        <w:keepNext w:val="0"/>
        <w:numPr>
          <w:ilvl w:val="1"/>
          <w:numId w:val="35"/>
        </w:numPr>
        <w:ind w:left="1080" w:hanging="360"/>
      </w:pPr>
      <w:r>
        <w:rPr>
          <w:rFonts w:ascii="Cambria" w:eastAsia="Cambria" w:hAnsi="Cambria" w:cs="Cambria"/>
          <w:color w:val="000000"/>
          <w:szCs w:val="24"/>
          <w:bdr w:val="nil"/>
          <w:lang w:val="fr-FR"/>
        </w:rPr>
        <w:t>Replacez l'équipement et les appareils fixes qui ont été déplacés pour permettre l'application de rev</w:t>
      </w:r>
      <w:r>
        <w:rPr>
          <w:rFonts w:ascii="Cambria" w:eastAsia="Cambria" w:hAnsi="Cambria" w:cs="Cambria"/>
          <w:color w:val="000000"/>
          <w:szCs w:val="24"/>
          <w:bdr w:val="nil"/>
          <w:lang w:val="fr-FR"/>
        </w:rPr>
        <w:t>êtements.</w:t>
      </w:r>
    </w:p>
    <w:p w14:paraId="695E2B01" w14:textId="77777777" w:rsidR="00D57A56" w:rsidRDefault="00B434C5" w:rsidP="002F4BD9">
      <w:pPr>
        <w:pStyle w:val="Heading2"/>
        <w:keepNext w:val="0"/>
        <w:numPr>
          <w:ilvl w:val="1"/>
          <w:numId w:val="35"/>
        </w:numPr>
        <w:ind w:left="1080" w:hanging="360"/>
      </w:pPr>
      <w:r>
        <w:rPr>
          <w:rFonts w:ascii="Cambria" w:eastAsia="Cambria" w:hAnsi="Cambria" w:cs="Cambria"/>
          <w:color w:val="000000"/>
          <w:szCs w:val="24"/>
          <w:bdr w:val="nil"/>
          <w:lang w:val="fr-FR"/>
        </w:rPr>
        <w:t>Enlevez les matériaux de protection.</w:t>
      </w:r>
    </w:p>
    <w:p w14:paraId="5CA4BD3F" w14:textId="77777777" w:rsidR="00D57A56" w:rsidRPr="002F4BD9" w:rsidRDefault="00B434C5" w:rsidP="002F4BD9">
      <w:pPr>
        <w:pStyle w:val="ARCATArticle"/>
        <w:numPr>
          <w:ilvl w:val="0"/>
          <w:numId w:val="14"/>
        </w:numPr>
        <w:rPr>
          <w:rFonts w:asciiTheme="majorHAnsi" w:hAnsiTheme="majorHAnsi"/>
          <w:sz w:val="24"/>
          <w:szCs w:val="24"/>
        </w:rPr>
      </w:pPr>
      <w:r>
        <w:rPr>
          <w:rFonts w:ascii="Cambria" w:eastAsia="Cambria" w:hAnsi="Cambria" w:cs="Cambria"/>
          <w:sz w:val="24"/>
          <w:szCs w:val="24"/>
          <w:bdr w:val="nil"/>
          <w:lang w:val="fr-FR"/>
        </w:rPr>
        <w:t>PROTECTION ET RÉPARATION</w:t>
      </w:r>
    </w:p>
    <w:p w14:paraId="36FD0BB4" w14:textId="77777777" w:rsidR="00D57A56" w:rsidRDefault="00B434C5" w:rsidP="002F4BD9">
      <w:pPr>
        <w:pStyle w:val="Heading2"/>
        <w:keepNext w:val="0"/>
        <w:numPr>
          <w:ilvl w:val="1"/>
          <w:numId w:val="37"/>
        </w:numPr>
        <w:ind w:left="1080" w:hanging="360"/>
      </w:pPr>
      <w:r>
        <w:rPr>
          <w:rFonts w:ascii="Cambria" w:eastAsia="Cambria" w:hAnsi="Cambria" w:cs="Cambria"/>
          <w:color w:val="000000"/>
          <w:szCs w:val="24"/>
          <w:bdr w:val="nil"/>
          <w:lang w:val="fr-FR"/>
        </w:rPr>
        <w:t>Protéger les applications de revêtement terminées de dommages causés par les activités de construction ultérieures.</w:t>
      </w:r>
    </w:p>
    <w:p w14:paraId="24B6CEDC" w14:textId="3A2BAAA8" w:rsidR="00D57A56" w:rsidRDefault="00B434C5" w:rsidP="002F4BD9">
      <w:pPr>
        <w:pStyle w:val="Heading2"/>
        <w:keepNext w:val="0"/>
        <w:numPr>
          <w:ilvl w:val="1"/>
          <w:numId w:val="37"/>
        </w:numPr>
        <w:ind w:left="1080" w:hanging="360"/>
      </w:pPr>
      <w:r>
        <w:rPr>
          <w:rFonts w:ascii="Cambria" w:eastAsia="Cambria" w:hAnsi="Cambria" w:cs="Cambria"/>
          <w:color w:val="000000"/>
          <w:szCs w:val="24"/>
          <w:bdr w:val="nil"/>
          <w:lang w:val="fr-FR"/>
        </w:rPr>
        <w:t xml:space="preserve">Réparez </w:t>
      </w:r>
      <w:r>
        <w:rPr>
          <w:rFonts w:ascii="Cambria" w:eastAsia="Cambria" w:hAnsi="Cambria" w:cs="Cambria"/>
          <w:color w:val="000000"/>
          <w:szCs w:val="24"/>
          <w:bdr w:val="nil"/>
          <w:lang w:val="fr-FR"/>
        </w:rPr>
        <w:t>à la satisfaction du propriétaire des revêtements endommagés par les activités de construction ultérieures. S'il n'est pas possible de réparer à la satisfaction de l'ingénieur, appliquer à nouveau le revêtement conformément au changement de plan de surface</w:t>
      </w:r>
      <w:r>
        <w:rPr>
          <w:rFonts w:ascii="Cambria" w:eastAsia="Cambria" w:hAnsi="Cambria" w:cs="Cambria"/>
          <w:color w:val="000000"/>
          <w:szCs w:val="24"/>
          <w:bdr w:val="nil"/>
          <w:lang w:val="fr-FR"/>
        </w:rPr>
        <w:t xml:space="preserve"> le plus proche adjacent, dans les directions à la fois horizontale et verticale.</w:t>
      </w:r>
    </w:p>
    <w:p w14:paraId="383EBAB6" w14:textId="69523F9C" w:rsidR="00372B9A" w:rsidRDefault="00B434C5" w:rsidP="00372B9A">
      <w:pPr>
        <w:pStyle w:val="ARCATArticle"/>
        <w:numPr>
          <w:ilvl w:val="0"/>
          <w:numId w:val="14"/>
        </w:numPr>
      </w:pPr>
      <w:r>
        <w:rPr>
          <w:rFonts w:eastAsia="Arial"/>
          <w:bdr w:val="nil"/>
          <w:lang w:val="fr-FR"/>
        </w:rPr>
        <w:t>AJUSTEMENT</w:t>
      </w:r>
    </w:p>
    <w:p w14:paraId="135F4381" w14:textId="09C1B30A" w:rsidR="00372B9A" w:rsidRPr="00372B9A" w:rsidRDefault="00B434C5" w:rsidP="00372B9A">
      <w:pPr>
        <w:pStyle w:val="Heading2"/>
        <w:keepNext w:val="0"/>
        <w:numPr>
          <w:ilvl w:val="1"/>
          <w:numId w:val="39"/>
        </w:numPr>
        <w:ind w:left="1080" w:hanging="360"/>
      </w:pPr>
      <w:r>
        <w:rPr>
          <w:rFonts w:ascii="Cambria" w:eastAsia="Cambria" w:hAnsi="Cambria" w:cs="Cambria"/>
          <w:color w:val="000000"/>
          <w:szCs w:val="24"/>
          <w:bdr w:val="nil"/>
          <w:lang w:val="fr-FR"/>
        </w:rPr>
        <w:t>Toutes les éraflures, soudures et autres surfaces exposées doivent être peintes ou repeintes à la fin des travaux.</w:t>
      </w:r>
    </w:p>
    <w:p w14:paraId="142A98EE" w14:textId="77777777" w:rsidR="00D57A56" w:rsidRDefault="00D57A56" w:rsidP="002F4BD9">
      <w:pPr>
        <w:pStyle w:val="ARCATNormal"/>
      </w:pPr>
    </w:p>
    <w:p w14:paraId="3693FABC" w14:textId="043B5AE9" w:rsidR="007E5FDA" w:rsidRDefault="00B434C5" w:rsidP="005548B5">
      <w:pPr>
        <w:pStyle w:val="ARCATEndOfSection"/>
      </w:pPr>
      <w:r>
        <w:rPr>
          <w:rFonts w:eastAsia="Arial"/>
          <w:bdr w:val="nil"/>
          <w:lang w:val="fr-FR"/>
        </w:rPr>
        <w:t>FIN DE SECTION</w:t>
      </w:r>
    </w:p>
    <w:sectPr w:rsidR="007E5FDA" w:rsidSect="007E5FDA">
      <w:footerReference w:type="default" r:id="rI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E0B88" w14:textId="77777777" w:rsidR="00000000" w:rsidRDefault="00B434C5">
      <w:pPr>
        <w:spacing w:after="0" w:line="240" w:lineRule="auto"/>
      </w:pPr>
      <w:r>
        <w:separator/>
      </w:r>
    </w:p>
  </w:endnote>
  <w:endnote w:type="continuationSeparator" w:id="0">
    <w:p w14:paraId="1EDB2FD9" w14:textId="77777777" w:rsidR="00000000" w:rsidRDefault="00B43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1837259C" w:rsidR="00510AFF" w:rsidRPr="00EC1322" w:rsidRDefault="00B434C5">
    <w:pPr>
      <w:pStyle w:val="Footer"/>
      <w:rPr>
        <w:rFonts w:ascii="Times New Roman" w:hAnsi="Times New Roman" w:cs="Times New Roman"/>
        <w:b/>
        <w:i/>
      </w:rPr>
    </w:pPr>
    <w:r>
      <w:rPr>
        <w:rFonts w:ascii="Times New Roman" w:eastAsia="Times New Roman" w:hAnsi="Times New Roman" w:cs="Times New Roman"/>
        <w:b/>
        <w:bCs/>
        <w:i/>
        <w:iCs/>
        <w:bdr w:val="nil"/>
        <w:lang w:val="fr-FR"/>
      </w:rPr>
      <w:t>USAID WATER/SANITATION</w:t>
    </w:r>
    <w:r>
      <w:rPr>
        <w:rFonts w:ascii="Times New Roman" w:eastAsia="Times New Roman" w:hAnsi="Times New Roman" w:cs="Times New Roman"/>
        <w:b/>
        <w:bCs/>
        <w:i/>
        <w:iCs/>
        <w:bdr w:val="nil"/>
        <w:lang w:val="fr-FR"/>
      </w:rPr>
      <w:tab/>
      <w:t>09 91 00</w:t>
    </w:r>
    <w:r>
      <w:ptab w:relativeTo="margin" w:alignment="right" w:leader="none"/>
    </w:r>
    <w:r>
      <w:rPr>
        <w:rFonts w:ascii="Times New Roman" w:eastAsia="Times New Roman" w:hAnsi="Times New Roman" w:cs="Times New Roman"/>
        <w:b/>
        <w:bCs/>
        <w:i/>
        <w:iCs/>
        <w:bdr w:val="nil"/>
        <w:lang w:val="fr-FR"/>
      </w:rPr>
      <w:t>Spécifications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DDD13" w14:textId="77777777" w:rsidR="00000000" w:rsidRDefault="00B434C5">
      <w:pPr>
        <w:spacing w:after="0" w:line="240" w:lineRule="auto"/>
      </w:pPr>
      <w:r>
        <w:separator/>
      </w:r>
    </w:p>
  </w:footnote>
  <w:footnote w:type="continuationSeparator" w:id="0">
    <w:p w14:paraId="2D1FF514" w14:textId="77777777" w:rsidR="00000000" w:rsidRDefault="00B43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DC62620"/>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4651F24"/>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5546E64"/>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249B758A"/>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26181157"/>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0" w15:restartNumberingAfterBreak="0">
    <w:nsid w:val="2A634AB8"/>
    <w:multiLevelType w:val="multilevel"/>
    <w:tmpl w:val="D974BEF6"/>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EC2741D"/>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30C94EBB"/>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348467A5"/>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421F667D"/>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4224301D"/>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46707D1B"/>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7F67E4F"/>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4C540479"/>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5033023B"/>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0" w15:restartNumberingAfterBreak="0">
    <w:nsid w:val="50CB4828"/>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53FB014E"/>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5B12195B"/>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6B5C6852"/>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4424DA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6" w15:restartNumberingAfterBreak="0">
    <w:nsid w:val="7DE105D9"/>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7DF32E10"/>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1"/>
  </w:num>
  <w:num w:numId="3">
    <w:abstractNumId w:val="10"/>
  </w:num>
  <w:num w:numId="4">
    <w:abstractNumId w:val="24"/>
  </w:num>
  <w:num w:numId="5">
    <w:abstractNumId w:val="4"/>
  </w:num>
  <w:num w:numId="6">
    <w:abstractNumId w:val="9"/>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0"/>
  </w:num>
  <w:num w:numId="15">
    <w:abstractNumId w:val="18"/>
  </w:num>
  <w:num w:numId="16">
    <w:abstractNumId w:val="11"/>
  </w:num>
  <w:num w:numId="17">
    <w:abstractNumId w:val="25"/>
  </w:num>
  <w:num w:numId="18">
    <w:abstractNumId w:val="27"/>
  </w:num>
  <w:num w:numId="19">
    <w:abstractNumId w:val="22"/>
  </w:num>
  <w:num w:numId="20">
    <w:abstractNumId w:val="6"/>
  </w:num>
  <w:num w:numId="21">
    <w:abstractNumId w:val="5"/>
  </w:num>
  <w:num w:numId="22">
    <w:abstractNumId w:val="12"/>
  </w:num>
  <w:num w:numId="23">
    <w:abstractNumId w:val="8"/>
  </w:num>
  <w:num w:numId="24">
    <w:abstractNumId w:val="14"/>
  </w:num>
  <w:num w:numId="25">
    <w:abstractNumId w:val="21"/>
  </w:num>
  <w:num w:numId="26">
    <w:abstractNumId w:val="24"/>
  </w:num>
  <w:num w:numId="27">
    <w:abstractNumId w:val="24"/>
  </w:num>
  <w:num w:numId="28">
    <w:abstractNumId w:val="26"/>
  </w:num>
  <w:num w:numId="29">
    <w:abstractNumId w:val="24"/>
  </w:num>
  <w:num w:numId="30">
    <w:abstractNumId w:val="23"/>
  </w:num>
  <w:num w:numId="31">
    <w:abstractNumId w:val="24"/>
  </w:num>
  <w:num w:numId="32">
    <w:abstractNumId w:val="20"/>
  </w:num>
  <w:num w:numId="33">
    <w:abstractNumId w:val="24"/>
  </w:num>
  <w:num w:numId="34">
    <w:abstractNumId w:val="24"/>
  </w:num>
  <w:num w:numId="35">
    <w:abstractNumId w:val="17"/>
  </w:num>
  <w:num w:numId="36">
    <w:abstractNumId w:val="24"/>
  </w:num>
  <w:num w:numId="37">
    <w:abstractNumId w:val="16"/>
  </w:num>
  <w:num w:numId="38">
    <w:abstractNumId w:val="24"/>
  </w:num>
  <w:num w:numId="39">
    <w:abstractNumId w:val="7"/>
  </w:num>
  <w:num w:numId="40">
    <w:abstractNumId w:val="24"/>
  </w:num>
  <w:num w:numId="41">
    <w:abstractNumId w:val="1"/>
  </w:num>
  <w:num w:numId="42">
    <w:abstractNumId w:val="19"/>
  </w:num>
  <w:num w:numId="43">
    <w:abstractNumId w:val="24"/>
  </w:num>
  <w:num w:numId="4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FB"/>
    <w:rsid w:val="000031BF"/>
    <w:rsid w:val="000051E2"/>
    <w:rsid w:val="00005DB4"/>
    <w:rsid w:val="00013E07"/>
    <w:rsid w:val="00014C0A"/>
    <w:rsid w:val="00055500"/>
    <w:rsid w:val="000B2137"/>
    <w:rsid w:val="000D6810"/>
    <w:rsid w:val="000F18DC"/>
    <w:rsid w:val="000F5475"/>
    <w:rsid w:val="0011793F"/>
    <w:rsid w:val="00125369"/>
    <w:rsid w:val="00131365"/>
    <w:rsid w:val="0013197F"/>
    <w:rsid w:val="001544B0"/>
    <w:rsid w:val="00162D14"/>
    <w:rsid w:val="0018332A"/>
    <w:rsid w:val="00197D81"/>
    <w:rsid w:val="001E65FB"/>
    <w:rsid w:val="002013E6"/>
    <w:rsid w:val="002272D0"/>
    <w:rsid w:val="002770E2"/>
    <w:rsid w:val="002A5F98"/>
    <w:rsid w:val="002C1597"/>
    <w:rsid w:val="002F0472"/>
    <w:rsid w:val="002F4BD9"/>
    <w:rsid w:val="002F564C"/>
    <w:rsid w:val="00307D7D"/>
    <w:rsid w:val="0032517A"/>
    <w:rsid w:val="003358FC"/>
    <w:rsid w:val="00337444"/>
    <w:rsid w:val="003402CC"/>
    <w:rsid w:val="00350B0F"/>
    <w:rsid w:val="0035131F"/>
    <w:rsid w:val="00372B9A"/>
    <w:rsid w:val="00382000"/>
    <w:rsid w:val="00395522"/>
    <w:rsid w:val="00396859"/>
    <w:rsid w:val="003B3776"/>
    <w:rsid w:val="003D0891"/>
    <w:rsid w:val="003E6A32"/>
    <w:rsid w:val="003F1994"/>
    <w:rsid w:val="003F20B8"/>
    <w:rsid w:val="003F34BA"/>
    <w:rsid w:val="003F772C"/>
    <w:rsid w:val="00413923"/>
    <w:rsid w:val="00440F7F"/>
    <w:rsid w:val="00441E5D"/>
    <w:rsid w:val="00467421"/>
    <w:rsid w:val="0049318B"/>
    <w:rsid w:val="004B2C00"/>
    <w:rsid w:val="004C3B3F"/>
    <w:rsid w:val="004C65DC"/>
    <w:rsid w:val="004D0F1D"/>
    <w:rsid w:val="004D51C5"/>
    <w:rsid w:val="004E39E2"/>
    <w:rsid w:val="0050121C"/>
    <w:rsid w:val="005016B0"/>
    <w:rsid w:val="00510AFF"/>
    <w:rsid w:val="00543381"/>
    <w:rsid w:val="005548B5"/>
    <w:rsid w:val="00581C25"/>
    <w:rsid w:val="00584A3A"/>
    <w:rsid w:val="005921DD"/>
    <w:rsid w:val="0059260F"/>
    <w:rsid w:val="005A6452"/>
    <w:rsid w:val="005A650A"/>
    <w:rsid w:val="005D29E4"/>
    <w:rsid w:val="005F4283"/>
    <w:rsid w:val="00607ED8"/>
    <w:rsid w:val="00636BC9"/>
    <w:rsid w:val="006415BF"/>
    <w:rsid w:val="00646140"/>
    <w:rsid w:val="00660FFF"/>
    <w:rsid w:val="006620FE"/>
    <w:rsid w:val="006710FB"/>
    <w:rsid w:val="00683F71"/>
    <w:rsid w:val="006A29B7"/>
    <w:rsid w:val="006B69BF"/>
    <w:rsid w:val="006F01E5"/>
    <w:rsid w:val="006F40E9"/>
    <w:rsid w:val="007003D1"/>
    <w:rsid w:val="007231D2"/>
    <w:rsid w:val="00751552"/>
    <w:rsid w:val="00751E4F"/>
    <w:rsid w:val="00766833"/>
    <w:rsid w:val="00776F7C"/>
    <w:rsid w:val="00785015"/>
    <w:rsid w:val="00792605"/>
    <w:rsid w:val="007A50BC"/>
    <w:rsid w:val="007E39C2"/>
    <w:rsid w:val="007E5FDA"/>
    <w:rsid w:val="007F7271"/>
    <w:rsid w:val="008205E5"/>
    <w:rsid w:val="00842883"/>
    <w:rsid w:val="008577B9"/>
    <w:rsid w:val="00864D4A"/>
    <w:rsid w:val="00871046"/>
    <w:rsid w:val="00876EC9"/>
    <w:rsid w:val="008943F6"/>
    <w:rsid w:val="008B4657"/>
    <w:rsid w:val="008D22C1"/>
    <w:rsid w:val="008F062F"/>
    <w:rsid w:val="00907D76"/>
    <w:rsid w:val="00921846"/>
    <w:rsid w:val="00931052"/>
    <w:rsid w:val="00937033"/>
    <w:rsid w:val="00937B6D"/>
    <w:rsid w:val="00941067"/>
    <w:rsid w:val="00944837"/>
    <w:rsid w:val="0099180A"/>
    <w:rsid w:val="009C224E"/>
    <w:rsid w:val="009D0731"/>
    <w:rsid w:val="009E526E"/>
    <w:rsid w:val="009E557C"/>
    <w:rsid w:val="009F2C9C"/>
    <w:rsid w:val="009F6210"/>
    <w:rsid w:val="00A4453B"/>
    <w:rsid w:val="00A6427D"/>
    <w:rsid w:val="00A67D22"/>
    <w:rsid w:val="00A82889"/>
    <w:rsid w:val="00A84DE1"/>
    <w:rsid w:val="00A93852"/>
    <w:rsid w:val="00AB19B3"/>
    <w:rsid w:val="00B2261E"/>
    <w:rsid w:val="00B36C7A"/>
    <w:rsid w:val="00B434C5"/>
    <w:rsid w:val="00B621BE"/>
    <w:rsid w:val="00B7628F"/>
    <w:rsid w:val="00B77B19"/>
    <w:rsid w:val="00B94504"/>
    <w:rsid w:val="00BF25D3"/>
    <w:rsid w:val="00C05926"/>
    <w:rsid w:val="00C1375F"/>
    <w:rsid w:val="00C226E0"/>
    <w:rsid w:val="00C24D22"/>
    <w:rsid w:val="00C818DF"/>
    <w:rsid w:val="00C8799F"/>
    <w:rsid w:val="00CB2901"/>
    <w:rsid w:val="00CC77BB"/>
    <w:rsid w:val="00D0471B"/>
    <w:rsid w:val="00D048C8"/>
    <w:rsid w:val="00D05C79"/>
    <w:rsid w:val="00D205B7"/>
    <w:rsid w:val="00D20DFC"/>
    <w:rsid w:val="00D55380"/>
    <w:rsid w:val="00D57A56"/>
    <w:rsid w:val="00D67047"/>
    <w:rsid w:val="00D80930"/>
    <w:rsid w:val="00D80D6C"/>
    <w:rsid w:val="00DE5141"/>
    <w:rsid w:val="00E210A2"/>
    <w:rsid w:val="00E35425"/>
    <w:rsid w:val="00E40727"/>
    <w:rsid w:val="00E40B70"/>
    <w:rsid w:val="00E57C3A"/>
    <w:rsid w:val="00E60B6E"/>
    <w:rsid w:val="00E66FBC"/>
    <w:rsid w:val="00EA36A3"/>
    <w:rsid w:val="00EB7EAF"/>
    <w:rsid w:val="00EC1322"/>
    <w:rsid w:val="00EC3014"/>
    <w:rsid w:val="00ED2C00"/>
    <w:rsid w:val="00EF5069"/>
    <w:rsid w:val="00F066EB"/>
    <w:rsid w:val="00F41053"/>
    <w:rsid w:val="00F602DB"/>
    <w:rsid w:val="00F7797D"/>
    <w:rsid w:val="00FB40D7"/>
    <w:rsid w:val="00FC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AC1CF-6C02-4FD3-8E94-923F2289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4"/>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1375F"/>
    <w:rPr>
      <w:sz w:val="16"/>
      <w:szCs w:val="16"/>
    </w:rPr>
  </w:style>
  <w:style w:type="paragraph" w:styleId="CommentText">
    <w:name w:val="annotation text"/>
    <w:basedOn w:val="Normal"/>
    <w:link w:val="CommentTextChar"/>
    <w:uiPriority w:val="99"/>
    <w:semiHidden/>
    <w:unhideWhenUsed/>
    <w:rsid w:val="00C1375F"/>
    <w:pPr>
      <w:spacing w:line="240" w:lineRule="auto"/>
    </w:pPr>
    <w:rPr>
      <w:sz w:val="20"/>
      <w:szCs w:val="20"/>
    </w:rPr>
  </w:style>
  <w:style w:type="character" w:customStyle="1" w:styleId="CommentTextChar">
    <w:name w:val="Comment Text Char"/>
    <w:basedOn w:val="DefaultParagraphFont"/>
    <w:link w:val="CommentText"/>
    <w:uiPriority w:val="99"/>
    <w:semiHidden/>
    <w:rsid w:val="00C1375F"/>
    <w:rPr>
      <w:sz w:val="20"/>
      <w:szCs w:val="20"/>
    </w:rPr>
  </w:style>
  <w:style w:type="paragraph" w:styleId="CommentSubject">
    <w:name w:val="annotation subject"/>
    <w:basedOn w:val="CommentText"/>
    <w:next w:val="CommentText"/>
    <w:link w:val="CommentSubjectChar"/>
    <w:uiPriority w:val="99"/>
    <w:semiHidden/>
    <w:unhideWhenUsed/>
    <w:rsid w:val="00C1375F"/>
    <w:rPr>
      <w:b/>
      <w:bCs/>
    </w:rPr>
  </w:style>
  <w:style w:type="character" w:customStyle="1" w:styleId="CommentSubjectChar">
    <w:name w:val="Comment Subject Char"/>
    <w:basedOn w:val="CommentTextChar"/>
    <w:link w:val="CommentSubject"/>
    <w:uiPriority w:val="99"/>
    <w:semiHidden/>
    <w:rsid w:val="00C1375F"/>
    <w:rPr>
      <w:b/>
      <w:bCs/>
      <w:sz w:val="20"/>
      <w:szCs w:val="20"/>
    </w:rPr>
  </w:style>
  <w:style w:type="paragraph" w:customStyle="1" w:styleId="ARCATArticle">
    <w:name w:val="ARCAT Article"/>
    <w:uiPriority w:val="99"/>
    <w:rsid w:val="00FC78F2"/>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RCATParagraph">
    <w:name w:val="ARCAT Paragraph"/>
    <w:rsid w:val="00FC78F2"/>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RCATSubPara">
    <w:name w:val="ARCAT SubPara"/>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SubSub1">
    <w:name w:val="ARCAT SubSub1"/>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SubSub2">
    <w:name w:val="ARCAT SubSub2"/>
    <w:uiPriority w:val="99"/>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SubSub3">
    <w:name w:val="ARCAT SubSub3"/>
    <w:uiPriority w:val="99"/>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SubSub4">
    <w:name w:val="ARCAT SubSub4"/>
    <w:uiPriority w:val="99"/>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SubSub5">
    <w:name w:val="ARCAT SubSub5"/>
    <w:uiPriority w:val="99"/>
    <w:rsid w:val="00FC78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note">
    <w:name w:val="ARCAT note"/>
    <w:uiPriority w:val="99"/>
    <w:rsid w:val="00BF25D3"/>
    <w:pPr>
      <w:widowControl w:val="0"/>
      <w:pBdr>
        <w:top w:val="dotted" w:sz="4" w:space="1" w:color="FF0000"/>
        <w:left w:val="dotted" w:sz="4" w:space="4" w:color="FF0000"/>
        <w:bottom w:val="dotted" w:sz="4" w:space="1" w:color="FF0000"/>
        <w:right w:val="dotted" w:sz="4" w:space="4" w:color="FF0000"/>
      </w:pBdr>
      <w:autoSpaceDE w:val="0"/>
      <w:autoSpaceDN w:val="0"/>
      <w:adjustRightInd w:val="0"/>
      <w:spacing w:after="0" w:line="240" w:lineRule="auto"/>
    </w:pPr>
    <w:rPr>
      <w:rFonts w:ascii="Arial" w:eastAsia="Times New Roman" w:hAnsi="Arial" w:cs="Arial"/>
      <w:b/>
      <w:vanish/>
      <w:color w:val="FF0000"/>
      <w:sz w:val="20"/>
      <w:szCs w:val="20"/>
    </w:rPr>
  </w:style>
  <w:style w:type="paragraph" w:customStyle="1" w:styleId="ARCATNormal">
    <w:name w:val="ARCAT Normal"/>
    <w:rsid w:val="00D57A5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RCATEndOfSection">
    <w:name w:val="ARCAT EndOfSection"/>
    <w:rsid w:val="00D57A56"/>
    <w:pPr>
      <w:tabs>
        <w:tab w:val="center" w:pos="4320"/>
      </w:tabs>
      <w:suppressAutoHyphens/>
      <w:autoSpaceDE w:val="0"/>
      <w:autoSpaceDN w:val="0"/>
      <w:adjustRightInd w:val="0"/>
      <w:spacing w:before="240" w:after="0" w:line="240" w:lineRule="auto"/>
      <w:jc w:val="center"/>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1789</Words>
  <Characters>10200</Characters>
  <Application>Microsoft Office Word</Application>
  <DocSecurity>4</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Gary.Paradoski</dc:creator>
  <cp:lastModifiedBy>John Liss Corelus</cp:lastModifiedBy>
  <cp:revision>2</cp:revision>
  <cp:lastPrinted>2018-07-20T21:27:00Z</cp:lastPrinted>
  <dcterms:created xsi:type="dcterms:W3CDTF">2019-05-14T18:10:00Z</dcterms:created>
  <dcterms:modified xsi:type="dcterms:W3CDTF">2019-05-14T18:10:00Z</dcterms:modified>
</cp:coreProperties>
</file>