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5"/>
        <w:gridCol w:w="5309"/>
      </w:tblGrid>
      <w:tr w:rsidR="00713C15" w:rsidRPr="004A2E56" w:rsidTr="00CB4892">
        <w:trPr>
          <w:trHeight w:val="1250"/>
          <w:jc w:val="center"/>
        </w:trPr>
        <w:tc>
          <w:tcPr>
            <w:tcW w:w="4405" w:type="dxa"/>
            <w:tcBorders>
              <w:bottom w:val="single" w:sz="4" w:space="0" w:color="auto"/>
            </w:tcBorders>
          </w:tcPr>
          <w:p w:rsidR="00713C15" w:rsidRPr="004A2E56" w:rsidRDefault="00713C15" w:rsidP="00F459AD">
            <w:pPr>
              <w:rPr>
                <w:rFonts w:cstheme="minorHAnsi"/>
              </w:rPr>
            </w:pPr>
            <w:r w:rsidRPr="004A2E56">
              <w:rPr>
                <w:rFonts w:cstheme="minorHAnsi"/>
                <w:b/>
                <w:smallCaps/>
                <w:noProof/>
                <w:lang w:val="en-IE" w:eastAsia="en-IE"/>
              </w:rPr>
              <w:drawing>
                <wp:anchor distT="0" distB="0" distL="114300" distR="114300" simplePos="0" relativeHeight="251659264" behindDoc="0" locked="0" layoutInCell="1" allowOverlap="1" wp14:anchorId="40067787" wp14:editId="532456A0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167005</wp:posOffset>
                  </wp:positionV>
                  <wp:extent cx="1600200" cy="691515"/>
                  <wp:effectExtent l="0" t="0" r="0" b="0"/>
                  <wp:wrapSquare wrapText="bothSides"/>
                  <wp:docPr id="1" name="Picture 1" descr="CONCERN_WORLDWIDE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CERN_WORLDWIDE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713C15" w:rsidRPr="004A2E56" w:rsidRDefault="00713C15" w:rsidP="00F459AD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4A2E56">
              <w:rPr>
                <w:rFonts w:cstheme="minorHAnsi"/>
                <w:b/>
              </w:rPr>
              <w:t>Programme de développement rural</w:t>
            </w:r>
            <w:r>
              <w:rPr>
                <w:rFonts w:cstheme="minorHAnsi"/>
                <w:b/>
              </w:rPr>
              <w:t xml:space="preserve"> </w:t>
            </w:r>
            <w:r w:rsidR="00F17F95">
              <w:rPr>
                <w:rFonts w:cstheme="minorHAnsi"/>
                <w:b/>
              </w:rPr>
              <w:t>multisectoriel</w:t>
            </w:r>
            <w:r>
              <w:rPr>
                <w:rFonts w:cstheme="minorHAnsi"/>
                <w:b/>
              </w:rPr>
              <w:t xml:space="preserve"> à Saut d’Eau</w:t>
            </w:r>
          </w:p>
        </w:tc>
      </w:tr>
      <w:tr w:rsidR="00713C15" w:rsidRPr="004A2E56" w:rsidTr="00CB4892">
        <w:trPr>
          <w:trHeight w:val="539"/>
          <w:jc w:val="center"/>
        </w:trPr>
        <w:tc>
          <w:tcPr>
            <w:tcW w:w="9714" w:type="dxa"/>
            <w:gridSpan w:val="2"/>
          </w:tcPr>
          <w:p w:rsidR="00C53AD0" w:rsidRPr="00B37889" w:rsidRDefault="00C53AD0" w:rsidP="00C53AD0">
            <w:pPr>
              <w:pStyle w:val="NoSpacing1"/>
              <w:jc w:val="center"/>
              <w:rPr>
                <w:b/>
                <w:sz w:val="32"/>
                <w:szCs w:val="32"/>
                <w:lang w:val="fr-FR"/>
              </w:rPr>
            </w:pPr>
            <w:r w:rsidRPr="00B37889">
              <w:rPr>
                <w:b/>
                <w:sz w:val="32"/>
                <w:szCs w:val="32"/>
                <w:lang w:val="fr-FR"/>
              </w:rPr>
              <w:t>TERMES DE REFERENCE</w:t>
            </w:r>
          </w:p>
          <w:p w:rsidR="00713C15" w:rsidRPr="00537046" w:rsidRDefault="009620BA" w:rsidP="00D62F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Engagement d’un con</w:t>
            </w:r>
            <w:r w:rsidR="00996624">
              <w:rPr>
                <w:rFonts w:ascii="Calibri" w:hAnsi="Calibri"/>
                <w:b/>
              </w:rPr>
              <w:t>sultant pour la traduction en Anglais du rapport d’EGRA</w:t>
            </w:r>
            <w:r w:rsidR="002B4E3A">
              <w:rPr>
                <w:rFonts w:ascii="Calibri" w:hAnsi="Calibri"/>
                <w:b/>
              </w:rPr>
              <w:t>.</w:t>
            </w:r>
          </w:p>
        </w:tc>
      </w:tr>
    </w:tbl>
    <w:p w:rsidR="00713C15" w:rsidRPr="004A2E56" w:rsidRDefault="00713C15" w:rsidP="00713C15">
      <w:pPr>
        <w:rPr>
          <w:rFonts w:cstheme="minorHAnsi"/>
          <w:b/>
        </w:rPr>
      </w:pPr>
    </w:p>
    <w:p w:rsidR="00713C15" w:rsidRPr="004A2E56" w:rsidRDefault="00713C15" w:rsidP="00713C15">
      <w:pPr>
        <w:jc w:val="both"/>
        <w:rPr>
          <w:rFonts w:cstheme="minorHAnsi"/>
          <w:b/>
        </w:rPr>
      </w:pPr>
      <w:r w:rsidRPr="004A2E56">
        <w:rPr>
          <w:rFonts w:cstheme="minorHAnsi"/>
          <w:b/>
        </w:rPr>
        <w:t xml:space="preserve">1-Contexte </w:t>
      </w:r>
    </w:p>
    <w:p w:rsidR="00713C15" w:rsidRPr="00692287" w:rsidRDefault="00713C15" w:rsidP="00713C15">
      <w:pPr>
        <w:tabs>
          <w:tab w:val="left" w:pos="4032"/>
        </w:tabs>
        <w:spacing w:after="120"/>
        <w:jc w:val="both"/>
        <w:rPr>
          <w:rFonts w:cstheme="minorHAnsi"/>
          <w:bCs/>
        </w:rPr>
      </w:pPr>
      <w:r w:rsidRPr="00692287">
        <w:rPr>
          <w:rFonts w:cstheme="minorHAnsi"/>
          <w:bCs/>
        </w:rPr>
        <w:t>Concern Worldwide (CWW) travaille à Saut</w:t>
      </w:r>
      <w:r w:rsidR="00031152">
        <w:rPr>
          <w:rFonts w:cstheme="minorHAnsi"/>
          <w:bCs/>
        </w:rPr>
        <w:t xml:space="preserve"> </w:t>
      </w:r>
      <w:r w:rsidRPr="00692287">
        <w:rPr>
          <w:rFonts w:cstheme="minorHAnsi"/>
          <w:bCs/>
        </w:rPr>
        <w:t>d’Eau en apportant sa participation sur différents secteurs susceptibles de contribuer au développement durable. Suite à une analyse contextuelle réalisée en 2012, identifiant les besoins et les problèmes rencontrés par les familles les plus pauvres ; un programme multisectoriel de développement rural a été élaboré</w:t>
      </w:r>
      <w:r w:rsidR="00031152">
        <w:rPr>
          <w:rFonts w:cstheme="minorHAnsi"/>
          <w:bCs/>
        </w:rPr>
        <w:t xml:space="preserve"> et implémenté</w:t>
      </w:r>
      <w:r w:rsidRPr="00692287">
        <w:rPr>
          <w:rFonts w:cstheme="minorHAnsi"/>
          <w:bCs/>
        </w:rPr>
        <w:t>.</w:t>
      </w:r>
    </w:p>
    <w:p w:rsidR="00713C15" w:rsidRDefault="00713C15" w:rsidP="00713C15">
      <w:pPr>
        <w:tabs>
          <w:tab w:val="left" w:pos="4032"/>
        </w:tabs>
        <w:spacing w:after="120"/>
        <w:jc w:val="both"/>
        <w:rPr>
          <w:rFonts w:cstheme="minorHAnsi"/>
          <w:bCs/>
        </w:rPr>
      </w:pPr>
      <w:r w:rsidRPr="00692287">
        <w:rPr>
          <w:rFonts w:cstheme="minorHAnsi"/>
          <w:bCs/>
        </w:rPr>
        <w:t>Financé par la coopération irlandaise</w:t>
      </w:r>
      <w:r w:rsidR="00491162">
        <w:rPr>
          <w:rFonts w:cstheme="minorHAnsi"/>
          <w:bCs/>
        </w:rPr>
        <w:t xml:space="preserve"> et la Fondation Kelloggs</w:t>
      </w:r>
      <w:r w:rsidRPr="00692287">
        <w:rPr>
          <w:rFonts w:cstheme="minorHAnsi"/>
          <w:bCs/>
        </w:rPr>
        <w:t xml:space="preserve">, ce programme vise à réduire cette pauvreté en améliorant les conditions de vie des </w:t>
      </w:r>
      <w:r w:rsidR="004461CC">
        <w:rPr>
          <w:rFonts w:cstheme="minorHAnsi"/>
          <w:bCs/>
        </w:rPr>
        <w:t>ménages</w:t>
      </w:r>
      <w:r w:rsidRPr="00692287">
        <w:rPr>
          <w:rFonts w:cstheme="minorHAnsi"/>
          <w:bCs/>
        </w:rPr>
        <w:t xml:space="preserve">, la qualité de l’éducation tout en tenant compte des problématiques de protection, </w:t>
      </w:r>
      <w:r w:rsidR="00491162">
        <w:rPr>
          <w:rFonts w:cstheme="minorHAnsi"/>
          <w:bCs/>
        </w:rPr>
        <w:t>d’</w:t>
      </w:r>
      <w:r w:rsidRPr="00692287">
        <w:rPr>
          <w:rFonts w:cstheme="minorHAnsi"/>
          <w:bCs/>
        </w:rPr>
        <w:t>inégalités et</w:t>
      </w:r>
      <w:r w:rsidR="00491162">
        <w:rPr>
          <w:rFonts w:cstheme="minorHAnsi"/>
          <w:bCs/>
        </w:rPr>
        <w:t xml:space="preserve"> de</w:t>
      </w:r>
      <w:r w:rsidRPr="00692287">
        <w:rPr>
          <w:rFonts w:cstheme="minorHAnsi"/>
          <w:bCs/>
        </w:rPr>
        <w:t xml:space="preserve"> la réduction des risques et des désastres.</w:t>
      </w:r>
    </w:p>
    <w:p w:rsidR="00855B02" w:rsidRDefault="0094274C" w:rsidP="00855B02">
      <w:pPr>
        <w:tabs>
          <w:tab w:val="left" w:pos="4032"/>
        </w:tabs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>Dans ce programme multisectoriel, Concern exécute un projet d’Education qui accompagne 24 écoles dans les sections comm</w:t>
      </w:r>
      <w:r w:rsidR="00031152">
        <w:rPr>
          <w:rFonts w:cstheme="minorHAnsi"/>
          <w:bCs/>
        </w:rPr>
        <w:t>unales de La Selle, de Rivière C</w:t>
      </w:r>
      <w:r>
        <w:rPr>
          <w:rFonts w:cstheme="minorHAnsi"/>
          <w:bCs/>
        </w:rPr>
        <w:t>anot</w:t>
      </w:r>
      <w:r w:rsidR="00031152">
        <w:rPr>
          <w:rFonts w:cstheme="minorHAnsi"/>
          <w:bCs/>
        </w:rPr>
        <w:t xml:space="preserve"> et de Montagne T</w:t>
      </w:r>
      <w:r>
        <w:rPr>
          <w:rFonts w:cstheme="minorHAnsi"/>
          <w:bCs/>
        </w:rPr>
        <w:t>errible, avec l’implémentation de la méthode de lecture TOTAL (M’</w:t>
      </w:r>
      <w:proofErr w:type="spellStart"/>
      <w:r>
        <w:rPr>
          <w:rFonts w:cstheme="minorHAnsi"/>
          <w:bCs/>
        </w:rPr>
        <w:t>ap</w:t>
      </w:r>
      <w:proofErr w:type="spellEnd"/>
      <w:r>
        <w:rPr>
          <w:rFonts w:cstheme="minorHAnsi"/>
          <w:bCs/>
        </w:rPr>
        <w:t xml:space="preserve"> li net).</w:t>
      </w:r>
      <w:r w:rsidR="00855B02">
        <w:rPr>
          <w:rFonts w:cstheme="minorHAnsi"/>
          <w:bCs/>
        </w:rPr>
        <w:t xml:space="preserve"> </w:t>
      </w:r>
    </w:p>
    <w:p w:rsidR="00BC0A07" w:rsidRDefault="00996624" w:rsidP="00855B02">
      <w:pPr>
        <w:tabs>
          <w:tab w:val="left" w:pos="4032"/>
        </w:tabs>
        <w:spacing w:after="120"/>
        <w:jc w:val="both"/>
        <w:rPr>
          <w:rFonts w:ascii="Calibri" w:hAnsi="Calibri"/>
        </w:rPr>
      </w:pPr>
      <w:r>
        <w:rPr>
          <w:rFonts w:cstheme="minorHAnsi"/>
          <w:bCs/>
        </w:rPr>
        <w:t xml:space="preserve">A la fin de l’année 2016, une évaluation sur la capacité de lecture des enfants a été réalisée, pour laquelle un rapport en Français a été élaboré. Ainsi, Concern envisage d’engager un consultant pour la traduction en Anglais du dit rapport </w:t>
      </w:r>
    </w:p>
    <w:p w:rsidR="0081745D" w:rsidRDefault="0081745D" w:rsidP="00713C15">
      <w:pPr>
        <w:jc w:val="both"/>
        <w:rPr>
          <w:rFonts w:cstheme="minorHAnsi"/>
          <w:b/>
        </w:rPr>
      </w:pPr>
    </w:p>
    <w:p w:rsidR="00713C15" w:rsidRPr="004A2E56" w:rsidRDefault="00713C15" w:rsidP="00713C15">
      <w:pPr>
        <w:jc w:val="both"/>
        <w:rPr>
          <w:rFonts w:cstheme="minorHAnsi"/>
          <w:b/>
        </w:rPr>
      </w:pPr>
      <w:r w:rsidRPr="004A2E56">
        <w:rPr>
          <w:rFonts w:cstheme="minorHAnsi"/>
          <w:b/>
        </w:rPr>
        <w:t xml:space="preserve">2-Objectif </w:t>
      </w:r>
    </w:p>
    <w:p w:rsidR="00E7585C" w:rsidRPr="00503F85" w:rsidRDefault="00713C15" w:rsidP="00713C15">
      <w:pPr>
        <w:jc w:val="both"/>
        <w:rPr>
          <w:rFonts w:ascii="Calibri" w:hAnsi="Calibri"/>
          <w:u w:val="single"/>
        </w:rPr>
      </w:pPr>
      <w:r w:rsidRPr="00503F85">
        <w:rPr>
          <w:rFonts w:cstheme="minorHAnsi"/>
          <w:u w:val="single"/>
        </w:rPr>
        <w:t xml:space="preserve">L’objectif de la consultation est </w:t>
      </w:r>
      <w:r w:rsidR="00281744" w:rsidRPr="00503F85">
        <w:rPr>
          <w:rFonts w:cstheme="minorHAnsi"/>
          <w:u w:val="single"/>
        </w:rPr>
        <w:t xml:space="preserve">de </w:t>
      </w:r>
      <w:r w:rsidR="00996624" w:rsidRPr="00503F85">
        <w:rPr>
          <w:rFonts w:cstheme="minorHAnsi"/>
          <w:u w:val="single"/>
        </w:rPr>
        <w:t xml:space="preserve">traduire en Anglais le rapport d’EGRA, composé de 5593 mots en Français. </w:t>
      </w:r>
    </w:p>
    <w:p w:rsidR="005B6ED0" w:rsidRDefault="004D288D" w:rsidP="00713C1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713C15" w:rsidRPr="00466BAA" w:rsidRDefault="00713C15" w:rsidP="00713C15">
      <w:pPr>
        <w:jc w:val="both"/>
        <w:rPr>
          <w:rFonts w:cstheme="minorHAnsi"/>
          <w:b/>
        </w:rPr>
      </w:pPr>
      <w:r w:rsidRPr="00466BAA">
        <w:rPr>
          <w:rFonts w:cstheme="minorHAnsi"/>
          <w:b/>
        </w:rPr>
        <w:t xml:space="preserve">3- Méthodologie </w:t>
      </w:r>
    </w:p>
    <w:p w:rsidR="003E279D" w:rsidRDefault="00996624" w:rsidP="00996624">
      <w:pPr>
        <w:jc w:val="both"/>
        <w:rPr>
          <w:sz w:val="24"/>
          <w:szCs w:val="24"/>
        </w:rPr>
      </w:pPr>
      <w:r>
        <w:rPr>
          <w:rFonts w:cstheme="minorHAnsi"/>
        </w:rPr>
        <w:t xml:space="preserve">La traduction du rapport devra se réaliser </w:t>
      </w:r>
      <w:r w:rsidR="00330AC9">
        <w:rPr>
          <w:rFonts w:cstheme="minorHAnsi"/>
        </w:rPr>
        <w:t>à</w:t>
      </w:r>
      <w:r>
        <w:rPr>
          <w:rFonts w:cstheme="minorHAnsi"/>
        </w:rPr>
        <w:t xml:space="preserve"> partir d’un Anglais professionnel, tenant compte de tous les a</w:t>
      </w:r>
      <w:r w:rsidR="00503F85">
        <w:rPr>
          <w:rFonts w:cstheme="minorHAnsi"/>
        </w:rPr>
        <w:t>s</w:t>
      </w:r>
      <w:r>
        <w:rPr>
          <w:rFonts w:cstheme="minorHAnsi"/>
        </w:rPr>
        <w:t>pects techniques et spécifiques au document.</w:t>
      </w:r>
      <w:r w:rsidRPr="004A2E56">
        <w:rPr>
          <w:rFonts w:cstheme="minorHAnsi"/>
        </w:rPr>
        <w:t xml:space="preserve"> </w:t>
      </w:r>
    </w:p>
    <w:p w:rsidR="003E279D" w:rsidRPr="000D1D9F" w:rsidRDefault="00A61A92" w:rsidP="003E279D">
      <w:pPr>
        <w:jc w:val="both"/>
        <w:rPr>
          <w:sz w:val="24"/>
          <w:szCs w:val="24"/>
        </w:rPr>
      </w:pPr>
      <w:r w:rsidRPr="000D1D9F">
        <w:rPr>
          <w:sz w:val="24"/>
          <w:szCs w:val="24"/>
        </w:rPr>
        <w:t>Aussi, devra-t-on respect</w:t>
      </w:r>
      <w:r>
        <w:rPr>
          <w:sz w:val="24"/>
          <w:szCs w:val="24"/>
        </w:rPr>
        <w:t>er l</w:t>
      </w:r>
      <w:r w:rsidR="003E279D" w:rsidRPr="000D1D9F">
        <w:rPr>
          <w:sz w:val="24"/>
          <w:szCs w:val="24"/>
        </w:rPr>
        <w:t xml:space="preserve">es étapes </w:t>
      </w:r>
      <w:r w:rsidRPr="000D1D9F">
        <w:rPr>
          <w:sz w:val="24"/>
          <w:szCs w:val="24"/>
        </w:rPr>
        <w:t>suivante</w:t>
      </w:r>
      <w:r>
        <w:rPr>
          <w:sz w:val="24"/>
          <w:szCs w:val="24"/>
        </w:rPr>
        <w:t>s</w:t>
      </w:r>
      <w:r w:rsidR="003E279D" w:rsidRPr="000D1D9F">
        <w:rPr>
          <w:sz w:val="24"/>
          <w:szCs w:val="24"/>
        </w:rPr>
        <w:t xml:space="preserve">: </w:t>
      </w:r>
    </w:p>
    <w:p w:rsidR="00713C15" w:rsidRPr="00860B98" w:rsidRDefault="00713C15" w:rsidP="00713C15">
      <w:pPr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0B98">
        <w:rPr>
          <w:rFonts w:ascii="Calibri" w:eastAsia="MS Gothic" w:hAnsi="Calibri" w:cs="Times New Roman"/>
          <w:sz w:val="24"/>
          <w:szCs w:val="24"/>
        </w:rPr>
        <w:t xml:space="preserve">Soumission d’une </w:t>
      </w:r>
      <w:r>
        <w:rPr>
          <w:rFonts w:ascii="Calibri" w:eastAsia="MS Gothic" w:hAnsi="Calibri" w:cs="Times New Roman"/>
          <w:sz w:val="24"/>
          <w:szCs w:val="24"/>
        </w:rPr>
        <w:t xml:space="preserve">proposition </w:t>
      </w:r>
      <w:r w:rsidRPr="00860B98">
        <w:rPr>
          <w:rFonts w:ascii="Calibri" w:eastAsia="MS Gothic" w:hAnsi="Calibri" w:cs="Times New Roman"/>
          <w:sz w:val="24"/>
          <w:szCs w:val="24"/>
        </w:rPr>
        <w:t>technique et financière</w:t>
      </w:r>
    </w:p>
    <w:p w:rsidR="00713C15" w:rsidRPr="00860B98" w:rsidRDefault="00713C15" w:rsidP="00713C15">
      <w:pPr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0B98">
        <w:rPr>
          <w:rFonts w:ascii="Calibri" w:eastAsia="Calibri" w:hAnsi="Calibri" w:cs="Times New Roman"/>
          <w:sz w:val="24"/>
          <w:szCs w:val="24"/>
        </w:rPr>
        <w:t>Rencontre et discu</w:t>
      </w:r>
      <w:r w:rsidR="00557C72">
        <w:rPr>
          <w:rFonts w:ascii="Calibri" w:eastAsia="Calibri" w:hAnsi="Calibri" w:cs="Times New Roman"/>
          <w:sz w:val="24"/>
          <w:szCs w:val="24"/>
        </w:rPr>
        <w:t>ssion</w:t>
      </w:r>
      <w:r w:rsidRPr="00860B98">
        <w:rPr>
          <w:rFonts w:ascii="Calibri" w:eastAsia="Calibri" w:hAnsi="Calibri" w:cs="Times New Roman"/>
          <w:sz w:val="24"/>
          <w:szCs w:val="24"/>
        </w:rPr>
        <w:t xml:space="preserve"> avec le</w:t>
      </w:r>
      <w:r>
        <w:rPr>
          <w:rFonts w:ascii="Calibri" w:eastAsia="Calibri" w:hAnsi="Calibri" w:cs="Times New Roman"/>
          <w:sz w:val="24"/>
          <w:szCs w:val="24"/>
        </w:rPr>
        <w:t>s</w:t>
      </w:r>
      <w:r w:rsidRPr="00860B98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responsables du programme </w:t>
      </w:r>
      <w:r w:rsidRPr="00860B98">
        <w:rPr>
          <w:rFonts w:ascii="Calibri" w:eastAsia="Calibri" w:hAnsi="Calibri" w:cs="Times New Roman"/>
          <w:sz w:val="24"/>
          <w:szCs w:val="24"/>
        </w:rPr>
        <w:t>sur la mise en œuvre du processus.</w:t>
      </w:r>
    </w:p>
    <w:p w:rsidR="00713C15" w:rsidRPr="00860B98" w:rsidRDefault="00713C15" w:rsidP="00713C15">
      <w:pPr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0B98">
        <w:rPr>
          <w:rFonts w:ascii="Calibri" w:eastAsia="Calibri" w:hAnsi="Calibri" w:cs="Times New Roman"/>
          <w:sz w:val="24"/>
          <w:szCs w:val="24"/>
        </w:rPr>
        <w:t>Elabor</w:t>
      </w:r>
      <w:r w:rsidR="00557C72">
        <w:rPr>
          <w:rFonts w:ascii="Calibri" w:eastAsia="Calibri" w:hAnsi="Calibri" w:cs="Times New Roman"/>
          <w:sz w:val="24"/>
          <w:szCs w:val="24"/>
        </w:rPr>
        <w:t>ation</w:t>
      </w:r>
      <w:r w:rsidRPr="00860B98">
        <w:rPr>
          <w:rFonts w:ascii="Calibri" w:eastAsia="Calibri" w:hAnsi="Calibri" w:cs="Times New Roman"/>
          <w:sz w:val="24"/>
          <w:szCs w:val="24"/>
        </w:rPr>
        <w:t xml:space="preserve"> et soum</w:t>
      </w:r>
      <w:r w:rsidR="00557C72">
        <w:rPr>
          <w:rFonts w:ascii="Calibri" w:eastAsia="Calibri" w:hAnsi="Calibri" w:cs="Times New Roman"/>
          <w:sz w:val="24"/>
          <w:szCs w:val="24"/>
        </w:rPr>
        <w:t>ission</w:t>
      </w:r>
      <w:r w:rsidRPr="00860B98">
        <w:rPr>
          <w:rFonts w:ascii="Calibri" w:eastAsia="Calibri" w:hAnsi="Calibri" w:cs="Times New Roman"/>
          <w:sz w:val="24"/>
          <w:szCs w:val="24"/>
        </w:rPr>
        <w:t xml:space="preserve"> un </w:t>
      </w:r>
      <w:r w:rsidRPr="007C227B">
        <w:rPr>
          <w:rFonts w:ascii="Calibri" w:eastAsia="Calibri" w:hAnsi="Calibri" w:cs="Times New Roman"/>
          <w:sz w:val="24"/>
          <w:szCs w:val="24"/>
        </w:rPr>
        <w:t>calendrier</w:t>
      </w:r>
      <w:r w:rsidR="00586D4B">
        <w:rPr>
          <w:rFonts w:ascii="Calibri" w:eastAsia="Calibri" w:hAnsi="Calibri" w:cs="Times New Roman"/>
          <w:sz w:val="24"/>
          <w:szCs w:val="24"/>
        </w:rPr>
        <w:t xml:space="preserve"> de réalisation</w:t>
      </w:r>
      <w:r w:rsidRPr="007C227B">
        <w:rPr>
          <w:rFonts w:ascii="Calibri" w:eastAsia="Calibri" w:hAnsi="Calibri" w:cs="Times New Roman"/>
          <w:sz w:val="24"/>
          <w:szCs w:val="24"/>
        </w:rPr>
        <w:t>.</w:t>
      </w:r>
    </w:p>
    <w:p w:rsidR="00713C15" w:rsidRPr="00E51AD0" w:rsidRDefault="00E51AD0" w:rsidP="00E51AD0">
      <w:pPr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860B98">
        <w:rPr>
          <w:rFonts w:ascii="Calibri" w:eastAsia="Calibri" w:hAnsi="Calibri" w:cs="Times New Roman"/>
          <w:sz w:val="24"/>
          <w:szCs w:val="24"/>
          <w:lang w:val="en-US"/>
        </w:rPr>
        <w:t xml:space="preserve">Signature du </w:t>
      </w:r>
      <w:proofErr w:type="spellStart"/>
      <w:r w:rsidRPr="00860B98">
        <w:rPr>
          <w:rFonts w:ascii="Calibri" w:eastAsia="Calibri" w:hAnsi="Calibri" w:cs="Times New Roman"/>
          <w:sz w:val="24"/>
          <w:szCs w:val="24"/>
          <w:lang w:val="en-US"/>
        </w:rPr>
        <w:t>contrat</w:t>
      </w:r>
      <w:proofErr w:type="spellEnd"/>
      <w:r w:rsidRPr="00860B98">
        <w:rPr>
          <w:rFonts w:ascii="Calibri" w:eastAsia="Calibri" w:hAnsi="Calibri" w:cs="Times New Roman"/>
          <w:sz w:val="24"/>
          <w:szCs w:val="24"/>
          <w:lang w:val="en-US"/>
        </w:rPr>
        <w:t xml:space="preserve">. </w:t>
      </w:r>
    </w:p>
    <w:p w:rsidR="00713C15" w:rsidRPr="0012713D" w:rsidRDefault="00996624" w:rsidP="00713C15">
      <w:pPr>
        <w:numPr>
          <w:ilvl w:val="1"/>
          <w:numId w:val="6"/>
        </w:numPr>
        <w:spacing w:after="0" w:line="240" w:lineRule="auto"/>
        <w:jc w:val="both"/>
        <w:rPr>
          <w:rFonts w:cstheme="minorHAnsi"/>
          <w:b/>
        </w:rPr>
      </w:pPr>
      <w:r>
        <w:t>Réalisation de la traduction</w:t>
      </w:r>
      <w:r w:rsidR="002475E3">
        <w:t>.</w:t>
      </w:r>
    </w:p>
    <w:p w:rsidR="00713C15" w:rsidRPr="00EA5849" w:rsidRDefault="00713C15" w:rsidP="00713C15">
      <w:pPr>
        <w:numPr>
          <w:ilvl w:val="1"/>
          <w:numId w:val="6"/>
        </w:numPr>
        <w:spacing w:after="0" w:line="240" w:lineRule="auto"/>
        <w:jc w:val="both"/>
        <w:rPr>
          <w:rFonts w:cstheme="minorHAnsi"/>
          <w:b/>
        </w:rPr>
      </w:pPr>
      <w:r>
        <w:lastRenderedPageBreak/>
        <w:t>Soum</w:t>
      </w:r>
      <w:r w:rsidR="00996624">
        <w:t>ission du document traduit</w:t>
      </w:r>
      <w:r>
        <w:t xml:space="preserve"> </w:t>
      </w:r>
    </w:p>
    <w:p w:rsidR="00713C15" w:rsidRPr="0012713D" w:rsidRDefault="00713C15" w:rsidP="00713C15">
      <w:pPr>
        <w:spacing w:after="0" w:line="240" w:lineRule="auto"/>
        <w:jc w:val="both"/>
        <w:rPr>
          <w:rFonts w:cstheme="minorHAnsi"/>
          <w:b/>
        </w:rPr>
      </w:pPr>
    </w:p>
    <w:p w:rsidR="00713C15" w:rsidRPr="004A2E56" w:rsidRDefault="00713C15" w:rsidP="00713C15">
      <w:pPr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 w:rsidRPr="004A2E56">
        <w:rPr>
          <w:rFonts w:cstheme="minorHAnsi"/>
          <w:b/>
        </w:rPr>
        <w:t>- Rôles et responsabilités techniques et financières respectifs</w:t>
      </w:r>
    </w:p>
    <w:p w:rsidR="00713C15" w:rsidRPr="004A2E56" w:rsidRDefault="00713C15" w:rsidP="00713C15">
      <w:pPr>
        <w:jc w:val="both"/>
        <w:rPr>
          <w:rFonts w:eastAsia="Calibri" w:cstheme="minorHAnsi"/>
        </w:rPr>
      </w:pPr>
      <w:r w:rsidRPr="004A2E56">
        <w:rPr>
          <w:rFonts w:eastAsia="Calibri" w:cstheme="minorHAnsi"/>
        </w:rPr>
        <w:t>Le ou la consultant(e) s’engagera à:</w:t>
      </w:r>
    </w:p>
    <w:p w:rsidR="00713C15" w:rsidRPr="004A2E56" w:rsidRDefault="00713C15" w:rsidP="00713C15">
      <w:pPr>
        <w:pStyle w:val="ListParagraph"/>
        <w:numPr>
          <w:ilvl w:val="0"/>
          <w:numId w:val="1"/>
        </w:numPr>
        <w:jc w:val="both"/>
        <w:rPr>
          <w:rFonts w:eastAsia="Calibri" w:cstheme="minorHAnsi"/>
        </w:rPr>
      </w:pPr>
      <w:r w:rsidRPr="004A2E56">
        <w:rPr>
          <w:rFonts w:eastAsia="Calibri" w:cstheme="minorHAnsi"/>
        </w:rPr>
        <w:t>Respecter le calendrier, les horaires et la méthodologie approuvés;</w:t>
      </w:r>
    </w:p>
    <w:p w:rsidR="00713C15" w:rsidRPr="004A2E56" w:rsidRDefault="00713C15" w:rsidP="00713C15">
      <w:pPr>
        <w:pStyle w:val="ListParagraph"/>
        <w:numPr>
          <w:ilvl w:val="0"/>
          <w:numId w:val="1"/>
        </w:numPr>
        <w:jc w:val="both"/>
        <w:rPr>
          <w:rFonts w:eastAsia="Calibri" w:cstheme="minorHAnsi"/>
        </w:rPr>
      </w:pPr>
      <w:r w:rsidRPr="004A2E56">
        <w:rPr>
          <w:rFonts w:eastAsia="Calibri" w:cstheme="minorHAnsi"/>
        </w:rPr>
        <w:t>Respecter les termes du contrat établi sur la base de ces termes de référence</w:t>
      </w:r>
    </w:p>
    <w:p w:rsidR="00713C15" w:rsidRPr="0012713D" w:rsidRDefault="00713C15" w:rsidP="00713C15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 w:rsidRPr="005E5B3F">
        <w:rPr>
          <w:rFonts w:eastAsia="Calibri" w:cstheme="minorHAnsi"/>
        </w:rPr>
        <w:t>Appliquer la transparence, la flexibilité et la tolérance durant tout le processus</w:t>
      </w:r>
      <w:r>
        <w:rPr>
          <w:rFonts w:eastAsia="Calibri" w:cstheme="minorHAnsi"/>
        </w:rPr>
        <w:t> ;</w:t>
      </w:r>
    </w:p>
    <w:p w:rsidR="00713C15" w:rsidRPr="008C22B1" w:rsidRDefault="00713C15" w:rsidP="00713C15">
      <w:pPr>
        <w:pStyle w:val="ListParagraph"/>
        <w:numPr>
          <w:ilvl w:val="0"/>
          <w:numId w:val="1"/>
        </w:numPr>
        <w:spacing w:after="0"/>
        <w:jc w:val="both"/>
        <w:rPr>
          <w:rFonts w:eastAsia="Calibri" w:cstheme="minorHAnsi"/>
        </w:rPr>
      </w:pPr>
      <w:r w:rsidRPr="008C22B1">
        <w:rPr>
          <w:rFonts w:eastAsia="Calibri" w:cstheme="minorHAnsi"/>
        </w:rPr>
        <w:t xml:space="preserve">Soumettre un calendrier </w:t>
      </w:r>
      <w:r w:rsidR="00700733">
        <w:rPr>
          <w:rFonts w:eastAsia="Calibri" w:cstheme="minorHAnsi"/>
        </w:rPr>
        <w:t>de travail</w:t>
      </w:r>
      <w:r>
        <w:rPr>
          <w:rFonts w:eastAsia="Calibri" w:cstheme="minorHAnsi"/>
        </w:rPr>
        <w:t> ;</w:t>
      </w:r>
    </w:p>
    <w:p w:rsidR="00713C15" w:rsidRDefault="00700733" w:rsidP="00713C15">
      <w:pPr>
        <w:pStyle w:val="ListParagraph"/>
        <w:numPr>
          <w:ilvl w:val="0"/>
          <w:numId w:val="1"/>
        </w:num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>Assurer la traduction</w:t>
      </w:r>
      <w:r w:rsidR="00713C15">
        <w:rPr>
          <w:rFonts w:eastAsia="Calibri" w:cstheme="minorHAnsi"/>
        </w:rPr>
        <w:t xml:space="preserve"> </w:t>
      </w:r>
    </w:p>
    <w:p w:rsidR="00713C15" w:rsidRPr="008C22B1" w:rsidRDefault="00E7585C" w:rsidP="00713C15">
      <w:pPr>
        <w:pStyle w:val="ListParagraph"/>
        <w:numPr>
          <w:ilvl w:val="0"/>
          <w:numId w:val="1"/>
        </w:num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>Soum</w:t>
      </w:r>
      <w:r w:rsidR="00700733">
        <w:rPr>
          <w:rFonts w:eastAsia="Calibri" w:cstheme="minorHAnsi"/>
        </w:rPr>
        <w:t>ettre le document traduit</w:t>
      </w:r>
    </w:p>
    <w:p w:rsidR="00713C15" w:rsidRPr="0012713D" w:rsidRDefault="00713C15" w:rsidP="00713C15">
      <w:pPr>
        <w:spacing w:after="0"/>
        <w:ind w:left="360"/>
        <w:jc w:val="both"/>
        <w:rPr>
          <w:rFonts w:eastAsia="Calibri" w:cstheme="minorHAnsi"/>
        </w:rPr>
      </w:pPr>
    </w:p>
    <w:p w:rsidR="00713C15" w:rsidRPr="004A2E56" w:rsidRDefault="00713C15" w:rsidP="00713C15">
      <w:pPr>
        <w:jc w:val="both"/>
        <w:rPr>
          <w:rFonts w:eastAsia="Calibri" w:cstheme="minorHAnsi"/>
        </w:rPr>
      </w:pPr>
      <w:r w:rsidRPr="004A2E56">
        <w:rPr>
          <w:rFonts w:eastAsia="Calibri" w:cstheme="minorHAnsi"/>
        </w:rPr>
        <w:t>Concern s’engagera à:</w:t>
      </w:r>
    </w:p>
    <w:p w:rsidR="00713C15" w:rsidRDefault="00713C15" w:rsidP="00713C15">
      <w:pPr>
        <w:pStyle w:val="ListParagraph"/>
        <w:numPr>
          <w:ilvl w:val="0"/>
          <w:numId w:val="4"/>
        </w:numPr>
        <w:jc w:val="both"/>
        <w:rPr>
          <w:rFonts w:eastAsia="Calibri" w:cstheme="minorHAnsi"/>
        </w:rPr>
      </w:pPr>
      <w:r w:rsidRPr="004A2E56">
        <w:rPr>
          <w:rFonts w:eastAsia="Calibri" w:cstheme="minorHAnsi"/>
        </w:rPr>
        <w:t>Pa</w:t>
      </w:r>
      <w:r w:rsidR="00700733">
        <w:rPr>
          <w:rFonts w:eastAsia="Calibri" w:cstheme="minorHAnsi"/>
        </w:rPr>
        <w:t>rtager le document à traduire</w:t>
      </w:r>
      <w:r w:rsidRPr="004A2E56">
        <w:rPr>
          <w:rFonts w:eastAsia="Calibri" w:cstheme="minorHAnsi"/>
        </w:rPr>
        <w:t xml:space="preserve"> ; </w:t>
      </w:r>
    </w:p>
    <w:p w:rsidR="00713C15" w:rsidRPr="004A2E56" w:rsidRDefault="00713C15" w:rsidP="00713C1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4A2E56">
        <w:rPr>
          <w:rFonts w:cstheme="minorHAnsi"/>
        </w:rPr>
        <w:t>Agir de bonne foi et ne point apporter de modifications inconsidérées au contrat.</w:t>
      </w:r>
    </w:p>
    <w:p w:rsidR="00713C15" w:rsidRPr="00E31967" w:rsidRDefault="00713C15" w:rsidP="00713C15">
      <w:pPr>
        <w:pStyle w:val="ListParagraph"/>
        <w:numPr>
          <w:ilvl w:val="0"/>
          <w:numId w:val="4"/>
        </w:numPr>
        <w:jc w:val="both"/>
        <w:rPr>
          <w:rFonts w:eastAsia="Calibri" w:cstheme="minorHAnsi"/>
        </w:rPr>
      </w:pPr>
      <w:r w:rsidRPr="004A2E56">
        <w:rPr>
          <w:rFonts w:cstheme="minorHAnsi"/>
        </w:rPr>
        <w:t>Payer le prix convenu selon la clause du contrat portant sur les modalités de paiement.</w:t>
      </w:r>
    </w:p>
    <w:p w:rsidR="00713C15" w:rsidRPr="004A2E56" w:rsidRDefault="00713C15" w:rsidP="00713C15">
      <w:pPr>
        <w:jc w:val="both"/>
        <w:rPr>
          <w:rFonts w:cstheme="minorHAnsi"/>
          <w:b/>
        </w:rPr>
      </w:pPr>
      <w:r>
        <w:rPr>
          <w:rFonts w:cstheme="minorHAnsi"/>
          <w:b/>
        </w:rPr>
        <w:t>6</w:t>
      </w:r>
      <w:r w:rsidRPr="004A2E56">
        <w:rPr>
          <w:rFonts w:cstheme="minorHAnsi"/>
          <w:b/>
        </w:rPr>
        <w:t>-  Extrant</w:t>
      </w:r>
      <w:r>
        <w:rPr>
          <w:rFonts w:cstheme="minorHAnsi"/>
          <w:b/>
        </w:rPr>
        <w:t>s</w:t>
      </w:r>
      <w:r w:rsidRPr="004A2E56">
        <w:rPr>
          <w:rFonts w:cstheme="minorHAnsi"/>
          <w:b/>
        </w:rPr>
        <w:t xml:space="preserve"> attendu</w:t>
      </w:r>
      <w:r>
        <w:rPr>
          <w:rFonts w:cstheme="minorHAnsi"/>
          <w:b/>
        </w:rPr>
        <w:t>s</w:t>
      </w:r>
      <w:r w:rsidRPr="004A2E56">
        <w:rPr>
          <w:rFonts w:cstheme="minorHAnsi"/>
          <w:b/>
        </w:rPr>
        <w:t xml:space="preserve"> (outputs) :</w:t>
      </w:r>
    </w:p>
    <w:p w:rsidR="00713C15" w:rsidRPr="004A2E56" w:rsidRDefault="00713C15" w:rsidP="00713C15">
      <w:pPr>
        <w:jc w:val="both"/>
        <w:rPr>
          <w:rFonts w:cstheme="minorHAnsi"/>
        </w:rPr>
      </w:pPr>
      <w:r w:rsidRPr="004A2E56">
        <w:rPr>
          <w:rFonts w:cstheme="minorHAnsi"/>
        </w:rPr>
        <w:t>Le/La Consultant</w:t>
      </w:r>
      <w:r w:rsidR="0038760C">
        <w:rPr>
          <w:rFonts w:cstheme="minorHAnsi"/>
        </w:rPr>
        <w:t xml:space="preserve"> (e)</w:t>
      </w:r>
      <w:r w:rsidRPr="004A2E56">
        <w:rPr>
          <w:rFonts w:cstheme="minorHAnsi"/>
        </w:rPr>
        <w:t xml:space="preserve"> produira et remettra à Concern:</w:t>
      </w:r>
    </w:p>
    <w:p w:rsidR="00713C15" w:rsidRPr="004A2E56" w:rsidRDefault="00713C15" w:rsidP="00713C15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U</w:t>
      </w:r>
      <w:r w:rsidR="00700733">
        <w:rPr>
          <w:rFonts w:cstheme="minorHAnsi"/>
        </w:rPr>
        <w:t>n calendrier pour la traduction</w:t>
      </w:r>
      <w:r w:rsidRPr="004A2E56">
        <w:rPr>
          <w:rFonts w:cstheme="minorHAnsi"/>
        </w:rPr>
        <w:t xml:space="preserve"> ;</w:t>
      </w:r>
    </w:p>
    <w:p w:rsidR="00713C15" w:rsidRDefault="00700733" w:rsidP="00713C15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Le document traduit</w:t>
      </w:r>
    </w:p>
    <w:p w:rsidR="00713C15" w:rsidRDefault="00713C15" w:rsidP="00713C15">
      <w:pPr>
        <w:jc w:val="both"/>
        <w:rPr>
          <w:rFonts w:cstheme="minorHAnsi"/>
          <w:b/>
        </w:rPr>
      </w:pPr>
    </w:p>
    <w:p w:rsidR="00713C15" w:rsidRDefault="00713C15" w:rsidP="00713C15">
      <w:pPr>
        <w:jc w:val="both"/>
        <w:rPr>
          <w:rFonts w:cstheme="minorHAnsi"/>
        </w:rPr>
      </w:pPr>
      <w:r>
        <w:rPr>
          <w:rFonts w:cstheme="minorHAnsi"/>
          <w:b/>
        </w:rPr>
        <w:t>7</w:t>
      </w:r>
      <w:r w:rsidRPr="00072EE4">
        <w:rPr>
          <w:rFonts w:cstheme="minorHAnsi"/>
          <w:b/>
        </w:rPr>
        <w:t>- Durée du contrat :</w:t>
      </w:r>
      <w:r w:rsidRPr="00745629">
        <w:rPr>
          <w:rFonts w:cstheme="minorHAnsi"/>
        </w:rPr>
        <w:t xml:space="preserve"> </w:t>
      </w:r>
    </w:p>
    <w:p w:rsidR="00713C15" w:rsidRPr="001631F5" w:rsidRDefault="00713C15" w:rsidP="00713C15">
      <w:pPr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="004F303F">
        <w:rPr>
          <w:rFonts w:cstheme="minorHAnsi"/>
        </w:rPr>
        <w:t xml:space="preserve">consultation se </w:t>
      </w:r>
      <w:r>
        <w:rPr>
          <w:rFonts w:cstheme="minorHAnsi"/>
        </w:rPr>
        <w:t xml:space="preserve">déroulera sur une période de </w:t>
      </w:r>
      <w:r w:rsidR="00E7585C">
        <w:rPr>
          <w:rFonts w:cstheme="minorHAnsi"/>
        </w:rPr>
        <w:t>15 jours</w:t>
      </w:r>
      <w:r w:rsidR="004F303F">
        <w:rPr>
          <w:rFonts w:cstheme="minorHAnsi"/>
        </w:rPr>
        <w:t xml:space="preserve"> entre le </w:t>
      </w:r>
      <w:r w:rsidR="00330AC9">
        <w:rPr>
          <w:rFonts w:cstheme="minorHAnsi"/>
        </w:rPr>
        <w:t xml:space="preserve">15 </w:t>
      </w:r>
      <w:r w:rsidR="00CE2445">
        <w:rPr>
          <w:rFonts w:cstheme="minorHAnsi"/>
        </w:rPr>
        <w:t xml:space="preserve"> et le </w:t>
      </w:r>
      <w:r w:rsidR="00330AC9">
        <w:rPr>
          <w:rFonts w:cstheme="minorHAnsi"/>
        </w:rPr>
        <w:t xml:space="preserve">30 </w:t>
      </w:r>
      <w:r w:rsidR="00E7585C">
        <w:rPr>
          <w:rFonts w:cstheme="minorHAnsi"/>
        </w:rPr>
        <w:t>mai 2017</w:t>
      </w:r>
    </w:p>
    <w:p w:rsidR="00713C15" w:rsidRDefault="00713C15" w:rsidP="00713C15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8- </w:t>
      </w:r>
      <w:r w:rsidRPr="00692287">
        <w:rPr>
          <w:rFonts w:cstheme="minorHAnsi"/>
          <w:b/>
        </w:rPr>
        <w:t>S</w:t>
      </w:r>
      <w:r>
        <w:rPr>
          <w:rFonts w:cstheme="minorHAnsi"/>
          <w:b/>
        </w:rPr>
        <w:t>élection de l’expertise</w:t>
      </w:r>
    </w:p>
    <w:p w:rsidR="00713C15" w:rsidRPr="00C279BF" w:rsidRDefault="00713C15" w:rsidP="00713C15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C279BF">
        <w:rPr>
          <w:rFonts w:ascii="Calibri" w:eastAsia="Calibri" w:hAnsi="Calibri" w:cs="Times New Roman"/>
          <w:sz w:val="24"/>
          <w:szCs w:val="24"/>
        </w:rPr>
        <w:t xml:space="preserve">Le </w:t>
      </w:r>
      <w:r>
        <w:rPr>
          <w:rFonts w:ascii="Calibri" w:eastAsia="Calibri" w:hAnsi="Calibri" w:cs="Times New Roman"/>
          <w:sz w:val="24"/>
          <w:szCs w:val="24"/>
        </w:rPr>
        <w:t xml:space="preserve">choix du </w:t>
      </w:r>
      <w:r w:rsidRPr="00C279BF">
        <w:rPr>
          <w:rFonts w:ascii="Calibri" w:eastAsia="Calibri" w:hAnsi="Calibri" w:cs="Times New Roman"/>
          <w:sz w:val="24"/>
          <w:szCs w:val="24"/>
        </w:rPr>
        <w:t xml:space="preserve">consultant </w:t>
      </w:r>
      <w:r>
        <w:rPr>
          <w:rFonts w:ascii="Calibri" w:eastAsia="Calibri" w:hAnsi="Calibri" w:cs="Times New Roman"/>
          <w:sz w:val="24"/>
          <w:szCs w:val="24"/>
        </w:rPr>
        <w:t>sera fait</w:t>
      </w:r>
      <w:r w:rsidRPr="00C279BF">
        <w:rPr>
          <w:rFonts w:ascii="Calibri" w:eastAsia="Calibri" w:hAnsi="Calibri" w:cs="Times New Roman"/>
          <w:sz w:val="24"/>
          <w:szCs w:val="24"/>
        </w:rPr>
        <w:t xml:space="preserve"> sur la base  des critères suivants :</w:t>
      </w:r>
    </w:p>
    <w:p w:rsidR="00713C15" w:rsidRPr="00C279BF" w:rsidRDefault="00713C15" w:rsidP="00713C1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279BF">
        <w:rPr>
          <w:rFonts w:ascii="Calibri" w:eastAsia="Calibri" w:hAnsi="Calibri" w:cs="Times New Roman"/>
          <w:sz w:val="24"/>
          <w:szCs w:val="24"/>
        </w:rPr>
        <w:t xml:space="preserve">Pertinente qualification  </w:t>
      </w:r>
      <w:r w:rsidR="00700733">
        <w:rPr>
          <w:rFonts w:ascii="Calibri" w:eastAsia="Calibri" w:hAnsi="Calibri" w:cs="Times New Roman"/>
          <w:sz w:val="24"/>
          <w:szCs w:val="24"/>
        </w:rPr>
        <w:t>en traduction en Anglais</w:t>
      </w:r>
      <w:r w:rsidRPr="00C279BF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713C15" w:rsidRDefault="00713C15" w:rsidP="00713C1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279BF">
        <w:rPr>
          <w:rFonts w:ascii="Calibri" w:eastAsia="Calibri" w:hAnsi="Calibri" w:cs="Times New Roman"/>
          <w:sz w:val="24"/>
          <w:szCs w:val="24"/>
        </w:rPr>
        <w:t>Expérience avérée dans la</w:t>
      </w:r>
      <w:r>
        <w:rPr>
          <w:rFonts w:ascii="Calibri" w:eastAsia="Calibri" w:hAnsi="Calibri" w:cs="Times New Roman"/>
          <w:sz w:val="24"/>
          <w:szCs w:val="24"/>
        </w:rPr>
        <w:t xml:space="preserve"> rédaction</w:t>
      </w:r>
      <w:r w:rsidR="00700733">
        <w:rPr>
          <w:rFonts w:ascii="Calibri" w:eastAsia="Calibri" w:hAnsi="Calibri" w:cs="Times New Roman"/>
          <w:sz w:val="24"/>
          <w:szCs w:val="24"/>
        </w:rPr>
        <w:t xml:space="preserve"> et la traduction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C279BF">
        <w:rPr>
          <w:rFonts w:ascii="Calibri" w:eastAsia="Calibri" w:hAnsi="Calibri" w:cs="Times New Roman"/>
          <w:sz w:val="24"/>
          <w:szCs w:val="24"/>
        </w:rPr>
        <w:t>de  documents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:rsidR="00713C15" w:rsidRPr="00692287" w:rsidRDefault="00713C15" w:rsidP="00713C15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692287">
        <w:rPr>
          <w:rFonts w:cstheme="minorHAnsi"/>
        </w:rPr>
        <w:t>Pertinence de la méthodologie, du contenu et du chronogramme proposés</w:t>
      </w:r>
    </w:p>
    <w:p w:rsidR="00713C15" w:rsidRPr="00692287" w:rsidRDefault="00713C15" w:rsidP="00713C15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692287">
        <w:rPr>
          <w:rFonts w:cstheme="minorHAnsi"/>
        </w:rPr>
        <w:t>Prix de la prestation</w:t>
      </w:r>
    </w:p>
    <w:p w:rsidR="00713C15" w:rsidRPr="00692287" w:rsidRDefault="00713C15" w:rsidP="00713C15">
      <w:pPr>
        <w:pStyle w:val="ListParagraph"/>
        <w:numPr>
          <w:ilvl w:val="0"/>
          <w:numId w:val="5"/>
        </w:numPr>
        <w:spacing w:after="0"/>
        <w:jc w:val="both"/>
      </w:pPr>
      <w:r w:rsidRPr="00692287">
        <w:rPr>
          <w:rFonts w:cstheme="minorHAnsi"/>
        </w:rPr>
        <w:t>Disponibilité du consultant </w:t>
      </w:r>
    </w:p>
    <w:p w:rsidR="00713C15" w:rsidRDefault="00713C15" w:rsidP="00713C15">
      <w:pPr>
        <w:jc w:val="both"/>
        <w:rPr>
          <w:rFonts w:eastAsia="Calibri" w:cstheme="minorHAnsi"/>
        </w:rPr>
      </w:pPr>
    </w:p>
    <w:p w:rsidR="00700733" w:rsidRDefault="00700733" w:rsidP="00713C15">
      <w:pPr>
        <w:jc w:val="both"/>
        <w:rPr>
          <w:rFonts w:eastAsia="Calibri" w:cstheme="minorHAnsi"/>
        </w:rPr>
      </w:pPr>
    </w:p>
    <w:p w:rsidR="00700733" w:rsidRPr="004A2E56" w:rsidRDefault="00700733" w:rsidP="00713C15">
      <w:pPr>
        <w:jc w:val="both"/>
        <w:rPr>
          <w:rFonts w:eastAsia="Calibri" w:cstheme="minorHAnsi"/>
        </w:rPr>
      </w:pPr>
    </w:p>
    <w:p w:rsidR="00713C15" w:rsidRPr="004A2E56" w:rsidRDefault="00713C15" w:rsidP="00713C15">
      <w:pPr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9</w:t>
      </w:r>
      <w:r w:rsidRPr="004A2E56">
        <w:rPr>
          <w:rFonts w:eastAsia="Calibri" w:cstheme="minorHAnsi"/>
          <w:b/>
          <w:bCs/>
        </w:rPr>
        <w:t>- Lignes de communications</w:t>
      </w:r>
    </w:p>
    <w:p w:rsidR="00713C15" w:rsidRDefault="00713C15" w:rsidP="00713C15">
      <w:pPr>
        <w:jc w:val="both"/>
        <w:rPr>
          <w:rFonts w:eastAsia="Calibri" w:cstheme="minorHAnsi"/>
        </w:rPr>
      </w:pPr>
      <w:r w:rsidRPr="004A2E56">
        <w:rPr>
          <w:rFonts w:eastAsia="Calibri" w:cstheme="minorHAnsi"/>
        </w:rPr>
        <w:lastRenderedPageBreak/>
        <w:t>Le contr</w:t>
      </w:r>
      <w:r w:rsidR="00CE2445">
        <w:rPr>
          <w:rFonts w:eastAsia="Calibri" w:cstheme="minorHAnsi"/>
        </w:rPr>
        <w:t>at sera supervisé par l’Assistant Coordonnateur</w:t>
      </w:r>
      <w:r>
        <w:rPr>
          <w:rFonts w:eastAsia="Calibri" w:cstheme="minorHAnsi"/>
        </w:rPr>
        <w:t xml:space="preserve"> de la base de Saut d’Eau</w:t>
      </w:r>
      <w:r w:rsidR="00CE2445">
        <w:rPr>
          <w:rFonts w:eastAsia="Calibri" w:cstheme="minorHAnsi"/>
        </w:rPr>
        <w:t>. Il</w:t>
      </w:r>
      <w:r w:rsidRPr="004A2E56">
        <w:rPr>
          <w:rFonts w:eastAsia="Calibri" w:cstheme="minorHAnsi"/>
        </w:rPr>
        <w:t xml:space="preserve"> supportera de façon stratégique et opérationnelle les aspects de la consultation et veillera au respect des termes de référence et le</w:t>
      </w:r>
      <w:r w:rsidR="00CE2445">
        <w:rPr>
          <w:rFonts w:eastAsia="Calibri" w:cstheme="minorHAnsi"/>
        </w:rPr>
        <w:t>s obligations de la coopération</w:t>
      </w:r>
      <w:r w:rsidRPr="004A2E56">
        <w:rPr>
          <w:rFonts w:eastAsia="Calibri" w:cstheme="minorHAnsi"/>
        </w:rPr>
        <w:t xml:space="preserve">. </w:t>
      </w:r>
    </w:p>
    <w:p w:rsidR="00713C15" w:rsidRPr="004A2E56" w:rsidRDefault="00713C15" w:rsidP="00713C15">
      <w:pPr>
        <w:jc w:val="both"/>
        <w:rPr>
          <w:rFonts w:eastAsia="Calibri" w:cstheme="minorHAnsi"/>
        </w:rPr>
      </w:pPr>
    </w:p>
    <w:p w:rsidR="00713C15" w:rsidRPr="004A2E56" w:rsidRDefault="00713C15" w:rsidP="00713C15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10- </w:t>
      </w:r>
      <w:r w:rsidRPr="004A2E56">
        <w:rPr>
          <w:rFonts w:cstheme="minorHAnsi"/>
          <w:b/>
          <w:bCs/>
          <w:color w:val="000000"/>
        </w:rPr>
        <w:t>Dossier de soumission</w:t>
      </w:r>
    </w:p>
    <w:p w:rsidR="00713C15" w:rsidRPr="004A2E56" w:rsidRDefault="00713C15" w:rsidP="00713C15">
      <w:pPr>
        <w:jc w:val="both"/>
        <w:rPr>
          <w:rFonts w:cstheme="minorHAnsi"/>
          <w:color w:val="000000"/>
        </w:rPr>
      </w:pPr>
      <w:r w:rsidRPr="004A2E56">
        <w:rPr>
          <w:rFonts w:cstheme="minorHAnsi"/>
          <w:color w:val="000000"/>
        </w:rPr>
        <w:t>Le document de proposition du Consultant devra être envoy</w:t>
      </w:r>
      <w:r>
        <w:rPr>
          <w:rFonts w:cstheme="minorHAnsi"/>
          <w:color w:val="000000"/>
        </w:rPr>
        <w:t>é par courrier électronique </w:t>
      </w:r>
      <w:r w:rsidR="00B15A66">
        <w:rPr>
          <w:rFonts w:cstheme="minorHAnsi"/>
          <w:color w:val="000000"/>
        </w:rPr>
        <w:t>et</w:t>
      </w:r>
      <w:r w:rsidRPr="004A2E56">
        <w:rPr>
          <w:rFonts w:cstheme="minorHAnsi"/>
          <w:color w:val="000000"/>
        </w:rPr>
        <w:t xml:space="preserve"> d</w:t>
      </w:r>
      <w:r w:rsidR="00B15A66">
        <w:rPr>
          <w:rFonts w:cstheme="minorHAnsi"/>
          <w:color w:val="000000"/>
        </w:rPr>
        <w:t>evra</w:t>
      </w:r>
      <w:r w:rsidRPr="004A2E56">
        <w:rPr>
          <w:rFonts w:cstheme="minorHAnsi"/>
          <w:color w:val="000000"/>
        </w:rPr>
        <w:t xml:space="preserve"> comprendre :</w:t>
      </w:r>
    </w:p>
    <w:p w:rsidR="00713C15" w:rsidRPr="004A2E56" w:rsidRDefault="00713C15" w:rsidP="00713C15">
      <w:pPr>
        <w:jc w:val="both"/>
        <w:rPr>
          <w:rFonts w:eastAsia="SymbolMT" w:cstheme="minorHAnsi"/>
          <w:color w:val="000000"/>
        </w:rPr>
      </w:pPr>
      <w:r w:rsidRPr="004A2E56">
        <w:rPr>
          <w:rFonts w:cstheme="minorHAnsi"/>
          <w:color w:val="000000"/>
        </w:rPr>
        <w:t xml:space="preserve">1. Une offre technique comprenant les </w:t>
      </w:r>
      <w:r w:rsidR="0038760C">
        <w:rPr>
          <w:rFonts w:cstheme="minorHAnsi"/>
          <w:color w:val="000000"/>
        </w:rPr>
        <w:t>éléments</w:t>
      </w:r>
      <w:r w:rsidR="0038760C" w:rsidRPr="004A2E56">
        <w:rPr>
          <w:rFonts w:cstheme="minorHAnsi"/>
          <w:color w:val="000000"/>
        </w:rPr>
        <w:t xml:space="preserve"> </w:t>
      </w:r>
      <w:r w:rsidRPr="004A2E56">
        <w:rPr>
          <w:rFonts w:cstheme="minorHAnsi"/>
          <w:color w:val="000000"/>
        </w:rPr>
        <w:t>suivants :</w:t>
      </w:r>
    </w:p>
    <w:p w:rsidR="00713C15" w:rsidRPr="004A2E56" w:rsidRDefault="00713C15" w:rsidP="00713C15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</w:rPr>
      </w:pPr>
      <w:r w:rsidRPr="004A2E56">
        <w:rPr>
          <w:rFonts w:cstheme="minorHAnsi"/>
          <w:color w:val="000000"/>
        </w:rPr>
        <w:t>Une lettre de soumission dûment signée de proposition technique avec mention claire de l’intitulé du marché et du contenu de l’offre technique et financière,</w:t>
      </w:r>
    </w:p>
    <w:p w:rsidR="00713C15" w:rsidRPr="004A2E56" w:rsidRDefault="00713C15" w:rsidP="00713C15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</w:rPr>
      </w:pPr>
      <w:r w:rsidRPr="004A2E56">
        <w:rPr>
          <w:rFonts w:cstheme="minorHAnsi"/>
          <w:color w:val="000000"/>
        </w:rPr>
        <w:t>Une description de la formation et une proposition de calendrier ;</w:t>
      </w:r>
    </w:p>
    <w:p w:rsidR="00713C15" w:rsidRDefault="00713C15" w:rsidP="00713C15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</w:rPr>
      </w:pPr>
      <w:r w:rsidRPr="004A2E56">
        <w:rPr>
          <w:rFonts w:cstheme="minorHAnsi"/>
          <w:color w:val="000000"/>
        </w:rPr>
        <w:t xml:space="preserve">Le(s) CV des personnes-ressources qui devront indiquer clairement les expériences similaires à l’objet de la présente </w:t>
      </w:r>
      <w:r w:rsidR="0038760C">
        <w:rPr>
          <w:rFonts w:cstheme="minorHAnsi"/>
          <w:color w:val="000000"/>
        </w:rPr>
        <w:t>consultation,</w:t>
      </w:r>
      <w:r w:rsidR="0038760C" w:rsidRPr="004A2E56">
        <w:rPr>
          <w:rFonts w:cstheme="minorHAnsi"/>
          <w:color w:val="000000"/>
        </w:rPr>
        <w:t xml:space="preserve"> </w:t>
      </w:r>
      <w:r w:rsidRPr="004A2E56">
        <w:rPr>
          <w:rFonts w:cstheme="minorHAnsi"/>
          <w:color w:val="000000"/>
        </w:rPr>
        <w:t>avec mention des références et le domaine de spécialisation.</w:t>
      </w:r>
      <w:bookmarkStart w:id="0" w:name="_GoBack"/>
      <w:bookmarkEnd w:id="0"/>
    </w:p>
    <w:p w:rsidR="00713C15" w:rsidRPr="005E1D20" w:rsidRDefault="00713C15" w:rsidP="00713C15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</w:rPr>
      </w:pPr>
      <w:r w:rsidRPr="0012713D">
        <w:rPr>
          <w:rFonts w:cstheme="minorHAnsi"/>
          <w:color w:val="000000"/>
        </w:rPr>
        <w:t>Une justification  pour démontrer  que le consultant  est capable de faire le travail;</w:t>
      </w:r>
      <w:r w:rsidRPr="007E0813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E1D20" w:rsidRPr="0012713D" w:rsidRDefault="005E1D20" w:rsidP="00713C15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</w:rPr>
      </w:pPr>
      <w:r>
        <w:rPr>
          <w:rFonts w:ascii="Calibri" w:eastAsia="Calibri" w:hAnsi="Calibri" w:cs="Times New Roman"/>
          <w:sz w:val="24"/>
          <w:szCs w:val="24"/>
        </w:rPr>
        <w:t xml:space="preserve">Les documents juridiques et administratifs </w:t>
      </w:r>
      <w:r w:rsidR="003841AD">
        <w:rPr>
          <w:rFonts w:ascii="Calibri" w:eastAsia="Calibri" w:hAnsi="Calibri" w:cs="Times New Roman"/>
          <w:sz w:val="24"/>
          <w:szCs w:val="24"/>
        </w:rPr>
        <w:t>s’il s’agit d’une firme de consultation</w:t>
      </w:r>
    </w:p>
    <w:p w:rsidR="00713C15" w:rsidRPr="0012713D" w:rsidRDefault="00713C15" w:rsidP="00713C15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</w:rPr>
      </w:pPr>
      <w:r w:rsidRPr="0012713D">
        <w:rPr>
          <w:rFonts w:ascii="Calibri" w:eastAsia="Calibri" w:hAnsi="Calibri" w:cs="Times New Roman"/>
          <w:sz w:val="24"/>
          <w:szCs w:val="24"/>
        </w:rPr>
        <w:t>Une description de la méthodologie proposée;</w:t>
      </w:r>
    </w:p>
    <w:p w:rsidR="00713C15" w:rsidRPr="0012713D" w:rsidRDefault="00713C15" w:rsidP="00713C15">
      <w:pPr>
        <w:pStyle w:val="ListParagraph"/>
        <w:rPr>
          <w:rFonts w:cstheme="minorHAnsi"/>
          <w:color w:val="000000"/>
        </w:rPr>
      </w:pPr>
    </w:p>
    <w:p w:rsidR="00713C15" w:rsidRPr="004A2E56" w:rsidRDefault="00713C15" w:rsidP="00713C15">
      <w:pPr>
        <w:jc w:val="both"/>
        <w:rPr>
          <w:rFonts w:cstheme="minorHAnsi"/>
          <w:color w:val="000000"/>
        </w:rPr>
      </w:pPr>
      <w:r w:rsidRPr="004A2E56">
        <w:rPr>
          <w:rFonts w:cstheme="minorHAnsi"/>
          <w:color w:val="000000"/>
        </w:rPr>
        <w:t>2. Une offre financière comprenant les éléments suivants :</w:t>
      </w:r>
    </w:p>
    <w:p w:rsidR="00713C15" w:rsidRPr="00072EE4" w:rsidRDefault="00713C15" w:rsidP="00713C1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4A2E56">
        <w:rPr>
          <w:rFonts w:cstheme="minorHAnsi"/>
          <w:color w:val="000000"/>
        </w:rPr>
        <w:t>Tableau détaillé des couts associés à la formation (personnes et matériels)</w:t>
      </w:r>
    </w:p>
    <w:p w:rsidR="00713C15" w:rsidRPr="00F67D5B" w:rsidRDefault="00713C15" w:rsidP="00713C15">
      <w:pPr>
        <w:pStyle w:val="ListParagraph"/>
        <w:jc w:val="both"/>
        <w:rPr>
          <w:rFonts w:cstheme="minorHAnsi"/>
        </w:rPr>
      </w:pPr>
    </w:p>
    <w:p w:rsidR="00B15A66" w:rsidRPr="00B15A66" w:rsidRDefault="004F303F" w:rsidP="005E0549">
      <w:pPr>
        <w:spacing w:after="0" w:line="240" w:lineRule="auto"/>
        <w:rPr>
          <w:sz w:val="24"/>
          <w:szCs w:val="24"/>
        </w:rPr>
      </w:pPr>
      <w:r w:rsidRPr="000D1D9F">
        <w:rPr>
          <w:sz w:val="24"/>
          <w:szCs w:val="24"/>
        </w:rPr>
        <w:t xml:space="preserve">Les </w:t>
      </w:r>
      <w:r w:rsidR="0038760C">
        <w:rPr>
          <w:sz w:val="24"/>
          <w:szCs w:val="24"/>
        </w:rPr>
        <w:t>personnes</w:t>
      </w:r>
      <w:r w:rsidRPr="000D1D9F">
        <w:rPr>
          <w:sz w:val="24"/>
          <w:szCs w:val="24"/>
        </w:rPr>
        <w:t>/firmes intéressé</w:t>
      </w:r>
      <w:r w:rsidR="0038760C">
        <w:rPr>
          <w:sz w:val="24"/>
          <w:szCs w:val="24"/>
        </w:rPr>
        <w:t>e</w:t>
      </w:r>
      <w:r w:rsidRPr="000D1D9F">
        <w:rPr>
          <w:sz w:val="24"/>
          <w:szCs w:val="24"/>
        </w:rPr>
        <w:t>s sont invité</w:t>
      </w:r>
      <w:r w:rsidR="0038760C">
        <w:rPr>
          <w:sz w:val="24"/>
          <w:szCs w:val="24"/>
        </w:rPr>
        <w:t>e</w:t>
      </w:r>
      <w:r w:rsidRPr="000D1D9F">
        <w:rPr>
          <w:sz w:val="24"/>
          <w:szCs w:val="24"/>
        </w:rPr>
        <w:t xml:space="preserve">s à fournir leur dossier de candidature au plus tard </w:t>
      </w:r>
      <w:r w:rsidR="00330AC9">
        <w:rPr>
          <w:sz w:val="24"/>
          <w:szCs w:val="24"/>
        </w:rPr>
        <w:t xml:space="preserve">le 7 Mai </w:t>
      </w:r>
      <w:r w:rsidRPr="000D1D9F">
        <w:rPr>
          <w:sz w:val="24"/>
          <w:szCs w:val="24"/>
        </w:rPr>
        <w:t xml:space="preserve"> 201</w:t>
      </w:r>
      <w:r w:rsidR="00CE2445">
        <w:rPr>
          <w:sz w:val="24"/>
          <w:szCs w:val="24"/>
        </w:rPr>
        <w:t>7</w:t>
      </w:r>
      <w:r w:rsidR="00C6286E">
        <w:rPr>
          <w:sz w:val="24"/>
          <w:szCs w:val="24"/>
        </w:rPr>
        <w:t>, à 4</w:t>
      </w:r>
      <w:r w:rsidRPr="000D1D9F">
        <w:rPr>
          <w:sz w:val="24"/>
          <w:szCs w:val="24"/>
        </w:rPr>
        <w:t xml:space="preserve">h pm par e-mail aux adresses des personnes de contact sous mentionnées ainsi qu’à </w:t>
      </w:r>
      <w:hyperlink r:id="rId9" w:history="1">
        <w:r w:rsidR="00B15A66" w:rsidRPr="00CB1653">
          <w:rPr>
            <w:rStyle w:val="Hyperlink"/>
            <w:sz w:val="24"/>
            <w:szCs w:val="24"/>
          </w:rPr>
          <w:t>demosthene.vely@concern.net</w:t>
        </w:r>
      </w:hyperlink>
      <w:r>
        <w:rPr>
          <w:sz w:val="24"/>
          <w:szCs w:val="24"/>
        </w:rPr>
        <w:t xml:space="preserve"> </w:t>
      </w:r>
      <w:r w:rsidR="00FD51CF">
        <w:rPr>
          <w:sz w:val="24"/>
          <w:szCs w:val="24"/>
        </w:rPr>
        <w:t xml:space="preserve">en copiant </w:t>
      </w:r>
      <w:hyperlink r:id="rId10" w:history="1">
        <w:r w:rsidR="00BF5A04" w:rsidRPr="00E369D4">
          <w:rPr>
            <w:rStyle w:val="Hyperlink"/>
            <w:sz w:val="24"/>
            <w:szCs w:val="24"/>
          </w:rPr>
          <w:t>haiti.ds@concern.net</w:t>
        </w:r>
      </w:hyperlink>
      <w:r w:rsidR="00FD51CF">
        <w:rPr>
          <w:sz w:val="24"/>
          <w:szCs w:val="24"/>
        </w:rPr>
        <w:t xml:space="preserve"> </w:t>
      </w:r>
      <w:r>
        <w:rPr>
          <w:sz w:val="24"/>
          <w:szCs w:val="24"/>
        </w:rPr>
        <w:t>avec la mention : «</w:t>
      </w:r>
      <w:r w:rsidR="00C6286E">
        <w:rPr>
          <w:sz w:val="24"/>
          <w:szCs w:val="24"/>
        </w:rPr>
        <w:t>Co</w:t>
      </w:r>
      <w:r w:rsidR="00CE2445">
        <w:rPr>
          <w:sz w:val="24"/>
          <w:szCs w:val="24"/>
        </w:rPr>
        <w:t>nsultation sur Formation TEL</w:t>
      </w:r>
      <w:r w:rsidRPr="000D1D9F">
        <w:rPr>
          <w:sz w:val="24"/>
          <w:szCs w:val="24"/>
        </w:rPr>
        <w:t>»</w:t>
      </w:r>
      <w:r w:rsidR="00C6286E">
        <w:rPr>
          <w:sz w:val="24"/>
          <w:szCs w:val="24"/>
        </w:rPr>
        <w:t>.</w:t>
      </w:r>
      <w:r w:rsidR="00B15A66" w:rsidRPr="00B15A66">
        <w:rPr>
          <w:sz w:val="24"/>
          <w:szCs w:val="24"/>
        </w:rPr>
        <w:t xml:space="preserve"> </w:t>
      </w:r>
    </w:p>
    <w:p w:rsidR="00B15A66" w:rsidRPr="00B15A66" w:rsidRDefault="00B15A66" w:rsidP="00B15A66">
      <w:pPr>
        <w:spacing w:after="0" w:line="240" w:lineRule="auto"/>
        <w:ind w:left="360"/>
        <w:rPr>
          <w:sz w:val="24"/>
          <w:szCs w:val="24"/>
        </w:rPr>
      </w:pPr>
    </w:p>
    <w:p w:rsidR="00B15A66" w:rsidRPr="00B15A66" w:rsidRDefault="00C53997" w:rsidP="00B15A66">
      <w:pPr>
        <w:spacing w:after="0" w:line="240" w:lineRule="auto"/>
        <w:rPr>
          <w:sz w:val="24"/>
          <w:szCs w:val="24"/>
          <w:lang w:val="en-IE"/>
        </w:rPr>
      </w:pPr>
      <w:r>
        <w:rPr>
          <w:b/>
          <w:color w:val="000000"/>
          <w:sz w:val="24"/>
          <w:szCs w:val="24"/>
        </w:rPr>
        <w:t>Personne</w:t>
      </w:r>
      <w:r w:rsidR="00B15A66" w:rsidRPr="000D1D9F">
        <w:rPr>
          <w:b/>
          <w:color w:val="000000"/>
          <w:sz w:val="24"/>
          <w:szCs w:val="24"/>
        </w:rPr>
        <w:t xml:space="preserve"> contact </w:t>
      </w:r>
    </w:p>
    <w:p w:rsidR="00B15A66" w:rsidRDefault="00FE4B24" w:rsidP="00B15A66">
      <w:pPr>
        <w:numPr>
          <w:ilvl w:val="0"/>
          <w:numId w:val="12"/>
        </w:numPr>
        <w:spacing w:after="0" w:line="240" w:lineRule="auto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Kesnel RICHEMONT</w:t>
      </w:r>
      <w:r w:rsidR="00B15A66" w:rsidRPr="004F303F">
        <w:rPr>
          <w:sz w:val="24"/>
          <w:szCs w:val="24"/>
          <w:lang w:val="en-IE"/>
        </w:rPr>
        <w:t>,</w:t>
      </w:r>
      <w:r w:rsidR="00B15A66">
        <w:rPr>
          <w:sz w:val="24"/>
          <w:szCs w:val="24"/>
          <w:lang w:val="en-IE"/>
        </w:rPr>
        <w:t xml:space="preserve"> </w:t>
      </w:r>
      <w:r>
        <w:rPr>
          <w:sz w:val="24"/>
          <w:szCs w:val="24"/>
          <w:lang w:val="en-IE"/>
        </w:rPr>
        <w:t xml:space="preserve">Assistant </w:t>
      </w:r>
      <w:r w:rsidR="00B15A66">
        <w:rPr>
          <w:sz w:val="24"/>
          <w:szCs w:val="24"/>
          <w:lang w:val="en-IE"/>
        </w:rPr>
        <w:t>Area Coordinator</w:t>
      </w:r>
      <w:r w:rsidR="00B15A66" w:rsidRPr="004F303F">
        <w:rPr>
          <w:sz w:val="24"/>
          <w:szCs w:val="24"/>
          <w:lang w:val="en-IE"/>
        </w:rPr>
        <w:t xml:space="preserve"> ; </w:t>
      </w:r>
      <w:hyperlink r:id="rId11" w:history="1">
        <w:r w:rsidRPr="00510838">
          <w:rPr>
            <w:rStyle w:val="Hyperlink"/>
            <w:sz w:val="24"/>
            <w:szCs w:val="24"/>
            <w:lang w:val="en-IE"/>
          </w:rPr>
          <w:t>richemond.kesnel@concern.net</w:t>
        </w:r>
      </w:hyperlink>
    </w:p>
    <w:p w:rsidR="00E30CAA" w:rsidRPr="00B15A66" w:rsidRDefault="004F303F" w:rsidP="00C53997">
      <w:pPr>
        <w:spacing w:after="0" w:line="240" w:lineRule="auto"/>
        <w:ind w:left="360"/>
        <w:rPr>
          <w:sz w:val="24"/>
          <w:szCs w:val="24"/>
        </w:rPr>
      </w:pPr>
      <w:r>
        <w:t xml:space="preserve"> </w:t>
      </w:r>
    </w:p>
    <w:sectPr w:rsidR="00E30CAA" w:rsidRPr="00B15A66" w:rsidSect="00F459A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E4" w:rsidRDefault="001866E4" w:rsidP="00F372D0">
      <w:pPr>
        <w:spacing w:after="0" w:line="240" w:lineRule="auto"/>
      </w:pPr>
      <w:r>
        <w:separator/>
      </w:r>
    </w:p>
  </w:endnote>
  <w:endnote w:type="continuationSeparator" w:id="0">
    <w:p w:rsidR="001866E4" w:rsidRDefault="001866E4" w:rsidP="00F3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ymbolMT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E4" w:rsidRDefault="001866E4" w:rsidP="00F372D0">
      <w:pPr>
        <w:spacing w:after="0" w:line="240" w:lineRule="auto"/>
      </w:pPr>
      <w:r>
        <w:separator/>
      </w:r>
    </w:p>
  </w:footnote>
  <w:footnote w:type="continuationSeparator" w:id="0">
    <w:p w:rsidR="001866E4" w:rsidRDefault="001866E4" w:rsidP="00F37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476"/>
    <w:multiLevelType w:val="hybridMultilevel"/>
    <w:tmpl w:val="6688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67B9"/>
    <w:multiLevelType w:val="hybridMultilevel"/>
    <w:tmpl w:val="B9C2C1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41D39"/>
    <w:multiLevelType w:val="hybridMultilevel"/>
    <w:tmpl w:val="8A08D93C"/>
    <w:lvl w:ilvl="0" w:tplc="20D886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92FC2"/>
    <w:multiLevelType w:val="hybridMultilevel"/>
    <w:tmpl w:val="CC069B64"/>
    <w:lvl w:ilvl="0" w:tplc="20D886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47F33"/>
    <w:multiLevelType w:val="hybridMultilevel"/>
    <w:tmpl w:val="33B0333C"/>
    <w:lvl w:ilvl="0" w:tplc="20D886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B2195"/>
    <w:multiLevelType w:val="hybridMultilevel"/>
    <w:tmpl w:val="F7CE4EC0"/>
    <w:lvl w:ilvl="0" w:tplc="20D886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D96D51"/>
    <w:multiLevelType w:val="singleLevel"/>
    <w:tmpl w:val="4CAE28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B52271"/>
    <w:multiLevelType w:val="hybridMultilevel"/>
    <w:tmpl w:val="CEC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F5678"/>
    <w:multiLevelType w:val="hybridMultilevel"/>
    <w:tmpl w:val="F86E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93105"/>
    <w:multiLevelType w:val="hybridMultilevel"/>
    <w:tmpl w:val="7C6A8D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538A0"/>
    <w:multiLevelType w:val="hybridMultilevel"/>
    <w:tmpl w:val="4B88FE4E"/>
    <w:lvl w:ilvl="0" w:tplc="C3B22AF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15018"/>
    <w:multiLevelType w:val="hybridMultilevel"/>
    <w:tmpl w:val="B7DA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15"/>
    <w:rsid w:val="000149F9"/>
    <w:rsid w:val="00031152"/>
    <w:rsid w:val="0003550A"/>
    <w:rsid w:val="000506F2"/>
    <w:rsid w:val="0005486D"/>
    <w:rsid w:val="0007419E"/>
    <w:rsid w:val="000C7A30"/>
    <w:rsid w:val="00122F98"/>
    <w:rsid w:val="00176F11"/>
    <w:rsid w:val="001866E4"/>
    <w:rsid w:val="002202BA"/>
    <w:rsid w:val="002475E3"/>
    <w:rsid w:val="00281744"/>
    <w:rsid w:val="002A6463"/>
    <w:rsid w:val="002B4E3A"/>
    <w:rsid w:val="002E19EA"/>
    <w:rsid w:val="002F6DE3"/>
    <w:rsid w:val="00330AC9"/>
    <w:rsid w:val="003841AD"/>
    <w:rsid w:val="0038760C"/>
    <w:rsid w:val="00395922"/>
    <w:rsid w:val="003A407A"/>
    <w:rsid w:val="003E279D"/>
    <w:rsid w:val="004461CC"/>
    <w:rsid w:val="00481A8A"/>
    <w:rsid w:val="00491162"/>
    <w:rsid w:val="004B2354"/>
    <w:rsid w:val="004D288D"/>
    <w:rsid w:val="004F303F"/>
    <w:rsid w:val="00503F85"/>
    <w:rsid w:val="00557C72"/>
    <w:rsid w:val="00586D4B"/>
    <w:rsid w:val="005B6ED0"/>
    <w:rsid w:val="005C5E1D"/>
    <w:rsid w:val="005D0CDE"/>
    <w:rsid w:val="005E0549"/>
    <w:rsid w:val="005E1D20"/>
    <w:rsid w:val="00661FD6"/>
    <w:rsid w:val="006E1047"/>
    <w:rsid w:val="00700733"/>
    <w:rsid w:val="00702ABC"/>
    <w:rsid w:val="00713C15"/>
    <w:rsid w:val="00795B6E"/>
    <w:rsid w:val="0081745D"/>
    <w:rsid w:val="00855B02"/>
    <w:rsid w:val="00887F63"/>
    <w:rsid w:val="008A01CF"/>
    <w:rsid w:val="0094274C"/>
    <w:rsid w:val="009448E1"/>
    <w:rsid w:val="009620BA"/>
    <w:rsid w:val="00973978"/>
    <w:rsid w:val="00996624"/>
    <w:rsid w:val="00A61A92"/>
    <w:rsid w:val="00A678FA"/>
    <w:rsid w:val="00AA6D03"/>
    <w:rsid w:val="00AC6552"/>
    <w:rsid w:val="00B15A66"/>
    <w:rsid w:val="00B72E1D"/>
    <w:rsid w:val="00BC0A07"/>
    <w:rsid w:val="00BF5A04"/>
    <w:rsid w:val="00C53997"/>
    <w:rsid w:val="00C53AD0"/>
    <w:rsid w:val="00C6286E"/>
    <w:rsid w:val="00CB31BC"/>
    <w:rsid w:val="00CB4892"/>
    <w:rsid w:val="00CE2445"/>
    <w:rsid w:val="00CF4B14"/>
    <w:rsid w:val="00D12EEE"/>
    <w:rsid w:val="00D21ECF"/>
    <w:rsid w:val="00D41999"/>
    <w:rsid w:val="00D62F54"/>
    <w:rsid w:val="00D63CDA"/>
    <w:rsid w:val="00D65BFE"/>
    <w:rsid w:val="00DA3D68"/>
    <w:rsid w:val="00E30CAA"/>
    <w:rsid w:val="00E51AD0"/>
    <w:rsid w:val="00E7585C"/>
    <w:rsid w:val="00EA5849"/>
    <w:rsid w:val="00F17F95"/>
    <w:rsid w:val="00F372D0"/>
    <w:rsid w:val="00F459AD"/>
    <w:rsid w:val="00FC2F55"/>
    <w:rsid w:val="00FC4F8D"/>
    <w:rsid w:val="00FD51CF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C15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C1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13C15"/>
    <w:rPr>
      <w:color w:val="0000FF"/>
      <w:u w:val="single"/>
    </w:rPr>
  </w:style>
  <w:style w:type="paragraph" w:customStyle="1" w:styleId="NoSpacing1">
    <w:name w:val="No Spacing1"/>
    <w:qFormat/>
    <w:rsid w:val="00C53AD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2D0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2D0"/>
    <w:rPr>
      <w:rFonts w:ascii="Calibri" w:eastAsia="Calibri" w:hAnsi="Calibri" w:cs="Times New Roman"/>
      <w:sz w:val="20"/>
      <w:szCs w:val="20"/>
      <w:lang w:val="fr-FR"/>
    </w:rPr>
  </w:style>
  <w:style w:type="character" w:styleId="FootnoteReference">
    <w:name w:val="footnote reference"/>
    <w:uiPriority w:val="99"/>
    <w:semiHidden/>
    <w:unhideWhenUsed/>
    <w:rsid w:val="00F372D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E2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9D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79D"/>
    <w:rPr>
      <w:rFonts w:ascii="Calibri" w:eastAsia="Calibri" w:hAnsi="Calibri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9D"/>
    <w:rPr>
      <w:rFonts w:ascii="Segoe UI" w:hAnsi="Segoe UI" w:cs="Segoe UI"/>
      <w:sz w:val="18"/>
      <w:szCs w:val="18"/>
      <w:lang w:val="fr-FR"/>
    </w:rPr>
  </w:style>
  <w:style w:type="character" w:customStyle="1" w:styleId="hps">
    <w:name w:val="hps"/>
    <w:basedOn w:val="DefaultParagraphFont"/>
    <w:rsid w:val="004F303F"/>
  </w:style>
  <w:style w:type="paragraph" w:customStyle="1" w:styleId="Normal10sansespace">
    <w:name w:val="Normal 10_sans espace"/>
    <w:basedOn w:val="Normal"/>
    <w:qFormat/>
    <w:rsid w:val="004F303F"/>
    <w:pPr>
      <w:spacing w:after="0" w:line="240" w:lineRule="auto"/>
    </w:pPr>
    <w:rPr>
      <w:rFonts w:ascii="Times New Roman" w:eastAsia="Batang" w:hAnsi="Times New Roman" w:cs="Times New Roman"/>
      <w:sz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B15A6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A30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A30"/>
    <w:rPr>
      <w:rFonts w:ascii="Calibri" w:eastAsia="Calibri" w:hAnsi="Calibri" w:cs="Times New Roman"/>
      <w:b/>
      <w:bCs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C15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C1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13C15"/>
    <w:rPr>
      <w:color w:val="0000FF"/>
      <w:u w:val="single"/>
    </w:rPr>
  </w:style>
  <w:style w:type="paragraph" w:customStyle="1" w:styleId="NoSpacing1">
    <w:name w:val="No Spacing1"/>
    <w:qFormat/>
    <w:rsid w:val="00C53AD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2D0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2D0"/>
    <w:rPr>
      <w:rFonts w:ascii="Calibri" w:eastAsia="Calibri" w:hAnsi="Calibri" w:cs="Times New Roman"/>
      <w:sz w:val="20"/>
      <w:szCs w:val="20"/>
      <w:lang w:val="fr-FR"/>
    </w:rPr>
  </w:style>
  <w:style w:type="character" w:styleId="FootnoteReference">
    <w:name w:val="footnote reference"/>
    <w:uiPriority w:val="99"/>
    <w:semiHidden/>
    <w:unhideWhenUsed/>
    <w:rsid w:val="00F372D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E2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9D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79D"/>
    <w:rPr>
      <w:rFonts w:ascii="Calibri" w:eastAsia="Calibri" w:hAnsi="Calibri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9D"/>
    <w:rPr>
      <w:rFonts w:ascii="Segoe UI" w:hAnsi="Segoe UI" w:cs="Segoe UI"/>
      <w:sz w:val="18"/>
      <w:szCs w:val="18"/>
      <w:lang w:val="fr-FR"/>
    </w:rPr>
  </w:style>
  <w:style w:type="character" w:customStyle="1" w:styleId="hps">
    <w:name w:val="hps"/>
    <w:basedOn w:val="DefaultParagraphFont"/>
    <w:rsid w:val="004F303F"/>
  </w:style>
  <w:style w:type="paragraph" w:customStyle="1" w:styleId="Normal10sansespace">
    <w:name w:val="Normal 10_sans espace"/>
    <w:basedOn w:val="Normal"/>
    <w:qFormat/>
    <w:rsid w:val="004F303F"/>
    <w:pPr>
      <w:spacing w:after="0" w:line="240" w:lineRule="auto"/>
    </w:pPr>
    <w:rPr>
      <w:rFonts w:ascii="Times New Roman" w:eastAsia="Batang" w:hAnsi="Times New Roman" w:cs="Times New Roman"/>
      <w:sz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B15A6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A30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A30"/>
    <w:rPr>
      <w:rFonts w:ascii="Calibri" w:eastAsia="Calibri" w:hAnsi="Calibri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chemond.kesnel@concern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aiti.ds@concer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sthene.vely@concer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Concern Worldwide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Josué Dieudonné</dc:creator>
  <cp:lastModifiedBy>Arnante Noel</cp:lastModifiedBy>
  <cp:revision>3</cp:revision>
  <dcterms:created xsi:type="dcterms:W3CDTF">2017-04-28T18:19:00Z</dcterms:created>
  <dcterms:modified xsi:type="dcterms:W3CDTF">2017-04-28T18:19:00Z</dcterms:modified>
</cp:coreProperties>
</file>